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3608"/>
        <w:gridCol w:w="7159"/>
        <w:gridCol w:w="21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3538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pStyle w:val="7"/>
              <w:spacing w:line="560" w:lineRule="exact"/>
              <w:ind w:left="1043" w:hanging="1043"/>
              <w:rPr>
                <w:rFonts w:hint="eastAsia"/>
                <w:kern w:val="0"/>
              </w:rPr>
            </w:pPr>
            <w:r>
              <w:rPr>
                <w:rFonts w:hint="eastAsia"/>
                <w:kern w:val="0"/>
              </w:rPr>
              <w:t>附件</w:t>
            </w:r>
          </w:p>
          <w:p>
            <w:pPr>
              <w:pStyle w:val="2"/>
              <w:snapToGrid w:val="0"/>
              <w:rPr>
                <w:rFonts w:hint="eastAsia"/>
                <w:kern w:val="0"/>
              </w:rPr>
            </w:pPr>
            <w:r>
              <w:rPr>
                <w:rFonts w:hint="eastAsia"/>
                <w:kern w:val="0"/>
              </w:rPr>
              <w:t>2020年度战略性新兴产业专项资金绿色低碳扶持计划</w:t>
            </w:r>
          </w:p>
          <w:p>
            <w:pPr>
              <w:pStyle w:val="2"/>
              <w:snapToGrid w:val="0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</w:rPr>
              <w:t>第四批资助项目计划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32"/>
              </w:rPr>
              <w:t>新能源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  <w:t>产业链关键环节提升扶持计划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建设单位</w:t>
            </w:r>
          </w:p>
        </w:tc>
        <w:tc>
          <w:tcPr>
            <w:tcW w:w="7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资助金额（万元）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深圳市蓝海华腾技术股份有限公司</w:t>
            </w:r>
          </w:p>
        </w:tc>
        <w:tc>
          <w:tcPr>
            <w:tcW w:w="7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新能源汽车车载ACU与PDU共享技术的研发与产业化</w:t>
            </w:r>
          </w:p>
        </w:tc>
        <w:tc>
          <w:tcPr>
            <w:tcW w:w="2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209.9874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深圳威迈斯新能源股份有限公司</w:t>
            </w:r>
          </w:p>
        </w:tc>
        <w:tc>
          <w:tcPr>
            <w:tcW w:w="7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新能源汽车车载电源集成一体机关键环节提升</w:t>
            </w:r>
          </w:p>
        </w:tc>
        <w:tc>
          <w:tcPr>
            <w:tcW w:w="2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422.958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节能环保产业链关键环节提升扶持计划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建设单位</w:t>
            </w:r>
          </w:p>
        </w:tc>
        <w:tc>
          <w:tcPr>
            <w:tcW w:w="7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资助金额（万元）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深圳市万福达精密设备股份有限公司</w:t>
            </w:r>
          </w:p>
        </w:tc>
        <w:tc>
          <w:tcPr>
            <w:tcW w:w="7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全自动高速辅料贴装机产业链关键技术的应用与提升</w:t>
            </w:r>
          </w:p>
        </w:tc>
        <w:tc>
          <w:tcPr>
            <w:tcW w:w="2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36.912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深圳科宏健半导体照明有限公司</w:t>
            </w:r>
          </w:p>
        </w:tc>
        <w:tc>
          <w:tcPr>
            <w:tcW w:w="7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高效节能LED防爆照明系统的研发和产业化</w:t>
            </w:r>
          </w:p>
        </w:tc>
        <w:tc>
          <w:tcPr>
            <w:tcW w:w="2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22.6296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深圳绿景环保再生资源有限公司</w:t>
            </w:r>
          </w:p>
        </w:tc>
        <w:tc>
          <w:tcPr>
            <w:tcW w:w="7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绿色低碳的建筑废弃物处理及再生利用项目</w:t>
            </w:r>
          </w:p>
        </w:tc>
        <w:tc>
          <w:tcPr>
            <w:tcW w:w="2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45.9051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1443A"/>
    <w:rsid w:val="28A1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line="560" w:lineRule="exact"/>
      <w:jc w:val="center"/>
      <w:outlineLvl w:val="0"/>
    </w:pPr>
    <w:rPr>
      <w:rFonts w:ascii="方正小标宋简体" w:hAnsi="仿宋" w:eastAsia="方正小标宋简体"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黑体"/>
    <w:basedOn w:val="1"/>
    <w:uiPriority w:val="3"/>
    <w:pPr>
      <w:spacing w:line="540" w:lineRule="exact"/>
      <w:ind w:left="1014" w:hanging="1014" w:hangingChars="326"/>
    </w:pPr>
    <w:rPr>
      <w:rFonts w:ascii="黑体" w:hAnsi="黑体" w:eastAsia="黑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2020-12-14T02:50:00Z</dcterms:created>
  <dc:creator>夏康康</dc:creator>
  <cp:lastModifiedBy>夏康康</cp:lastModifiedBy>
  <dcterms:modified xsi:type="dcterms:W3CDTF">2020-12-14T02:50:46Z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