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eastAsia="方正小标宋_GBK" w:cs="Times New Roman"/>
          <w:color w:val="auto"/>
          <w:sz w:val="44"/>
          <w:szCs w:val="44"/>
          <w:highlight w:val="none"/>
        </w:rPr>
      </w:pPr>
      <w:r>
        <w:rPr>
          <w:rFonts w:ascii="Times New Roman" w:hAnsi="Times New Roman" w:eastAsia="方正小标宋_GBK" w:cs="Times New Roman"/>
          <w:color w:val="auto"/>
          <w:sz w:val="44"/>
          <w:szCs w:val="44"/>
          <w:highlight w:val="none"/>
        </w:rPr>
        <w:t>天河区</w:t>
      </w:r>
      <w:r>
        <w:rPr>
          <w:rFonts w:ascii="Times New Roman" w:eastAsia="方正小标宋_GBK" w:cs="Times New Roman"/>
          <w:color w:val="auto"/>
          <w:sz w:val="44"/>
          <w:szCs w:val="44"/>
          <w:highlight w:val="none"/>
        </w:rPr>
        <w:t>支持金融业</w:t>
      </w:r>
      <w:r>
        <w:rPr>
          <w:rFonts w:hint="eastAsia" w:ascii="Times New Roman" w:eastAsia="方正小标宋_GBK" w:cs="Times New Roman"/>
          <w:color w:val="auto"/>
          <w:sz w:val="44"/>
          <w:szCs w:val="44"/>
          <w:highlight w:val="none"/>
        </w:rPr>
        <w:t>重点企业</w:t>
      </w:r>
      <w:r>
        <w:rPr>
          <w:rFonts w:ascii="Times New Roman" w:eastAsia="方正小标宋_GBK" w:cs="Times New Roman"/>
          <w:color w:val="auto"/>
          <w:sz w:val="44"/>
          <w:szCs w:val="44"/>
          <w:highlight w:val="none"/>
        </w:rPr>
        <w:t>落户</w:t>
      </w:r>
      <w:r>
        <w:rPr>
          <w:rFonts w:hint="eastAsia" w:ascii="Times New Roman" w:eastAsia="方正小标宋_GBK" w:cs="Times New Roman"/>
          <w:color w:val="auto"/>
          <w:sz w:val="44"/>
          <w:szCs w:val="44"/>
          <w:highlight w:val="none"/>
        </w:rPr>
        <w:t>项目</w:t>
      </w:r>
    </w:p>
    <w:p>
      <w:pPr>
        <w:spacing w:line="560" w:lineRule="exact"/>
        <w:jc w:val="center"/>
        <w:rPr>
          <w:rFonts w:ascii="Times New Roman" w:eastAsia="方正小标宋_GBK" w:cs="Times New Roman"/>
          <w:color w:val="auto"/>
          <w:sz w:val="44"/>
          <w:szCs w:val="44"/>
          <w:highlight w:val="none"/>
        </w:rPr>
      </w:pPr>
      <w:r>
        <w:rPr>
          <w:rFonts w:hint="eastAsia" w:ascii="Times New Roman" w:eastAsia="方正小标宋_GBK" w:cs="Times New Roman"/>
          <w:color w:val="auto"/>
          <w:sz w:val="44"/>
          <w:szCs w:val="44"/>
          <w:highlight w:val="none"/>
        </w:rPr>
        <w:t>办事指南</w:t>
      </w:r>
    </w:p>
    <w:p>
      <w:pPr>
        <w:spacing w:line="560" w:lineRule="exact"/>
        <w:jc w:val="center"/>
        <w:rPr>
          <w:rFonts w:ascii="Times New Roman" w:eastAsia="方正小标宋_GBK" w:cs="Times New Roman"/>
          <w:color w:val="auto"/>
          <w:sz w:val="44"/>
          <w:szCs w:val="44"/>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spacing w:line="560" w:lineRule="exact"/>
        <w:ind w:firstLine="640" w:firstLineChars="200"/>
        <w:rPr>
          <w:rFonts w:hint="eastAsia" w:ascii="楷体" w:hAnsi="楷体" w:eastAsia="楷体" w:cs="楷体"/>
          <w:color w:val="auto"/>
          <w:kern w:val="0"/>
          <w:sz w:val="32"/>
          <w:highlight w:val="none"/>
          <w:lang w:bidi="ar"/>
        </w:rPr>
      </w:pPr>
      <w:r>
        <w:rPr>
          <w:rFonts w:ascii="Times New Roman" w:hAnsi="Times New Roman" w:eastAsia="仿宋_GB2312" w:cs="Times New Roman"/>
          <w:color w:val="auto"/>
          <w:sz w:val="32"/>
          <w:highlight w:val="none"/>
        </w:rPr>
        <w:t>1.申报对象：</w:t>
      </w:r>
      <w:r>
        <w:rPr>
          <w:rFonts w:ascii="Times New Roman" w:eastAsia="仿宋_GB2312" w:cs="Times New Roman"/>
          <w:color w:val="auto"/>
          <w:sz w:val="32"/>
          <w:szCs w:val="32"/>
          <w:highlight w:val="none"/>
        </w:rPr>
        <w:t>新落户天河区的持牌法人金融机构、法人金融类控股公司（集团）、持牌金融机构一级分支机构（区域总部）、持牌金融机构专营机构、股权投资管理企业、金融市场交易平台</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4.资金额度：最高不超过3000万元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8.联系方式：区商务金融局金融发展科，020-</w:t>
      </w:r>
      <w:bookmarkStart w:id="0" w:name="_Toc166951318"/>
      <w:bookmarkStart w:id="1" w:name="_Toc166952865"/>
      <w:bookmarkStart w:id="2" w:name="_Toc166951845"/>
      <w:bookmarkStart w:id="3" w:name="_Toc166952597"/>
      <w:bookmarkStart w:id="4" w:name="_Toc166952383"/>
      <w:bookmarkStart w:id="5" w:name="_Toc166954084"/>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2449</w:t>
      </w:r>
    </w:p>
    <w:p>
      <w:pPr>
        <w:pStyle w:val="12"/>
        <w:widowControl/>
        <w:wordWrap w:val="0"/>
        <w:snapToGrid w:val="0"/>
        <w:spacing w:line="560" w:lineRule="exact"/>
        <w:ind w:firstLine="64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9.项目描述：</w:t>
      </w:r>
    </w:p>
    <w:p>
      <w:pPr>
        <w:pStyle w:val="12"/>
        <w:widowControl/>
        <w:wordWrap w:val="0"/>
        <w:snapToGrid w:val="0"/>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对实收资本在2亿元以上的新落户持牌法人金融机构，按照企业落户后第一、二、三个完整会计年度分别给予对应年度对区经济发展贡献的100%、50%、50%奖励，每家企业三年累计最高不超过3000万元。对控股1家以上的新落户持牌法人金融机构的法人金融类控股公司（集团），按其所控股的本区金融机构参照上述标准应得奖励的1/5给予奖励，每家企业支持金额合计不超过其对应年度对区经济发展贡献的100%。</w:t>
      </w:r>
    </w:p>
    <w:p>
      <w:pPr>
        <w:pStyle w:val="12"/>
        <w:widowControl/>
        <w:wordWrap w:val="0"/>
        <w:snapToGrid w:val="0"/>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对新设立或新迁入的持牌金融机构一级分支机构（区域总部）及持牌专营机构，给予一次性120万元支持。（三）对管理规模达到50亿元以上并按国家相关规定完成备案手续的国家、省、市重大股权投资基金，给予股权投资管理企业一次性1000万元奖励。（四）对上年度新落户的全国性金融市场交易平台，给予一次性2000万元支持。对上年度新落户的区域性金融市场交易平台，给予一次性1000万元支持。</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spacing w:line="560" w:lineRule="exact"/>
        <w:ind w:firstLine="640" w:firstLineChars="200"/>
        <w:rPr>
          <w:rFonts w:ascii="Times New Roman" w:hAnsi="Times New Roman" w:eastAsia="仿宋_GB2312" w:cs="Times New Roman"/>
          <w:color w:val="auto"/>
          <w:sz w:val="32"/>
          <w:highlight w:val="none"/>
        </w:rPr>
      </w:pPr>
      <w:r>
        <w:rPr>
          <w:rFonts w:hint="eastAsia" w:ascii="Times New Roman" w:hAnsi="Times New Roman" w:eastAsia="仿宋_GB2312" w:cs="Times New Roman"/>
          <w:color w:val="auto"/>
          <w:sz w:val="32"/>
          <w:highlight w:val="none"/>
        </w:rPr>
        <w:t>本项目每年组织一次申报，</w:t>
      </w:r>
      <w:r>
        <w:rPr>
          <w:rFonts w:ascii="Times New Roman" w:hAnsi="Times New Roman" w:eastAsia="仿宋_GB2312" w:cs="Times New Roman"/>
          <w:color w:val="auto"/>
          <w:sz w:val="32"/>
          <w:highlight w:val="none"/>
        </w:rPr>
        <w:t>2021年</w:t>
      </w:r>
      <w:r>
        <w:rPr>
          <w:rFonts w:hint="eastAsia" w:ascii="Times New Roman" w:hAnsi="Times New Roman" w:eastAsia="仿宋_GB2312" w:cs="Times New Roman"/>
          <w:color w:val="auto"/>
          <w:sz w:val="32"/>
          <w:highlight w:val="none"/>
        </w:rPr>
        <w:t>申报起止时间为：2021年</w:t>
      </w:r>
      <w:r>
        <w:rPr>
          <w:rFonts w:ascii="Times New Roman" w:hAnsi="Times New Roman" w:eastAsia="仿宋_GB2312" w:cs="Times New Roman"/>
          <w:color w:val="auto"/>
          <w:sz w:val="32"/>
          <w:highlight w:val="none"/>
        </w:rPr>
        <w:t>5月1日至2021年5月</w:t>
      </w:r>
      <w:r>
        <w:rPr>
          <w:rFonts w:hint="eastAsia" w:ascii="Times New Roman" w:hAnsi="Times New Roman" w:eastAsia="仿宋_GB2312" w:cs="Times New Roman"/>
          <w:color w:val="auto"/>
          <w:sz w:val="32"/>
          <w:highlight w:val="none"/>
        </w:rPr>
        <w:t>2</w:t>
      </w:r>
      <w:r>
        <w:rPr>
          <w:rFonts w:ascii="Times New Roman" w:hAnsi="Times New Roman" w:eastAsia="仿宋_GB2312" w:cs="Times New Roman"/>
          <w:color w:val="auto"/>
          <w:sz w:val="32"/>
          <w:highlight w:val="none"/>
        </w:rPr>
        <w:t>1日</w:t>
      </w:r>
      <w:r>
        <w:rPr>
          <w:rFonts w:hint="eastAsia" w:ascii="Times New Roman" w:hAnsi="Times New Roman" w:eastAsia="仿宋_GB2312" w:cs="Times New Roman"/>
          <w:color w:val="auto"/>
          <w:sz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spacing w:line="560" w:lineRule="exact"/>
        <w:ind w:firstLine="640" w:firstLineChars="200"/>
        <w:rPr>
          <w:rFonts w:ascii="楷体" w:hAnsi="楷体" w:eastAsia="楷体" w:cs="Times New Roman"/>
          <w:color w:val="auto"/>
          <w:sz w:val="32"/>
          <w:szCs w:val="32"/>
          <w:highlight w:val="none"/>
        </w:rPr>
      </w:pPr>
      <w:r>
        <w:rPr>
          <w:rFonts w:ascii="楷体" w:hAnsi="楷体" w:eastAsia="楷体" w:cs="Times New Roman"/>
          <w:color w:val="auto"/>
          <w:sz w:val="32"/>
          <w:szCs w:val="32"/>
          <w:highlight w:val="none"/>
        </w:rPr>
        <w:t>（一）申请企业需同时符合以下情况：</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1.实收资本在2亿元以上的新落户持牌法人金融机构</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控股1家以上的新落户持牌法人金融机构的法人金融类控股公司（集团）</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新设立或新迁入的持牌金融机构一级分支机构（区域总部）及持牌专营机构</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新落户的全国性</w:t>
      </w:r>
      <w:r>
        <w:rPr>
          <w:rFonts w:hint="eastAsia" w:ascii="Times New Roman" w:hAnsi="Times New Roman" w:eastAsia="仿宋_GB2312" w:cs="Times New Roman"/>
          <w:color w:val="auto"/>
          <w:sz w:val="32"/>
          <w:szCs w:val="32"/>
          <w:highlight w:val="none"/>
        </w:rPr>
        <w:t>（或区域性）</w:t>
      </w:r>
      <w:r>
        <w:rPr>
          <w:rFonts w:ascii="Times New Roman" w:hAnsi="Times New Roman" w:eastAsia="仿宋_GB2312" w:cs="Times New Roman"/>
          <w:color w:val="auto"/>
          <w:sz w:val="32"/>
          <w:szCs w:val="32"/>
          <w:highlight w:val="none"/>
        </w:rPr>
        <w:t>金融市场交易平台</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或管理规模达到50亿元以上并按国家相关规定完成备案手续的国家、省、市重大股权投资基金</w:t>
      </w:r>
      <w:r>
        <w:rPr>
          <w:rFonts w:hint="eastAsia" w:ascii="Times New Roman" w:hAnsi="Times New Roman" w:eastAsia="仿宋_GB2312" w:cs="Times New Roman"/>
          <w:color w:val="auto"/>
          <w:sz w:val="32"/>
          <w:szCs w:val="32"/>
          <w:highlight w:val="none"/>
        </w:rPr>
        <w:t>；</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以申报日期为界，自落户之日起，首次申报时间不得超过</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个完整的会计年度；</w:t>
      </w:r>
      <w:r>
        <w:rPr>
          <w:rFonts w:hint="eastAsia" w:ascii="楷体" w:hAnsi="楷体" w:eastAsia="楷体" w:cs="楷体"/>
          <w:color w:val="auto"/>
          <w:sz w:val="32"/>
          <w:highlight w:val="none"/>
        </w:rPr>
        <w:t>（</w:t>
      </w:r>
      <w:r>
        <w:rPr>
          <w:rFonts w:ascii="Times New Roman" w:hAnsi="楷体" w:eastAsia="楷体" w:cs="Times New Roman"/>
          <w:color w:val="auto"/>
          <w:sz w:val="32"/>
          <w:highlight w:val="none"/>
        </w:rPr>
        <w:t>备注：如</w:t>
      </w:r>
      <w:r>
        <w:rPr>
          <w:rFonts w:ascii="Times New Roman" w:hAnsi="Times New Roman" w:eastAsia="楷体" w:cs="Times New Roman"/>
          <w:color w:val="auto"/>
          <w:sz w:val="32"/>
          <w:highlight w:val="none"/>
        </w:rPr>
        <w:t>2021</w:t>
      </w:r>
      <w:r>
        <w:rPr>
          <w:rFonts w:ascii="Times New Roman" w:hAnsi="楷体" w:eastAsia="楷体" w:cs="Times New Roman"/>
          <w:color w:val="auto"/>
          <w:sz w:val="32"/>
          <w:highlight w:val="none"/>
        </w:rPr>
        <w:t>年首次申报的企业，在天河区注册的时间不能早于</w:t>
      </w:r>
      <w:r>
        <w:rPr>
          <w:rFonts w:ascii="Times New Roman" w:hAnsi="Times New Roman" w:eastAsia="楷体" w:cs="Times New Roman"/>
          <w:color w:val="auto"/>
          <w:sz w:val="32"/>
          <w:highlight w:val="none"/>
        </w:rPr>
        <w:t>2019</w:t>
      </w:r>
      <w:r>
        <w:rPr>
          <w:rFonts w:ascii="Times New Roman" w:hAnsi="楷体" w:eastAsia="楷体" w:cs="Times New Roman"/>
          <w:color w:val="auto"/>
          <w:sz w:val="32"/>
          <w:highlight w:val="none"/>
        </w:rPr>
        <w:t>年</w:t>
      </w:r>
      <w:r>
        <w:rPr>
          <w:rFonts w:ascii="Times New Roman" w:hAnsi="Times New Roman" w:eastAsia="楷体" w:cs="Times New Roman"/>
          <w:color w:val="auto"/>
          <w:sz w:val="32"/>
          <w:highlight w:val="none"/>
        </w:rPr>
        <w:t>1</w:t>
      </w:r>
      <w:r>
        <w:rPr>
          <w:rFonts w:ascii="Times New Roman" w:hAnsi="楷体" w:eastAsia="楷体" w:cs="Times New Roman"/>
          <w:color w:val="auto"/>
          <w:sz w:val="32"/>
          <w:highlight w:val="none"/>
        </w:rPr>
        <w:t>月</w:t>
      </w:r>
      <w:r>
        <w:rPr>
          <w:rFonts w:ascii="Times New Roman" w:hAnsi="Times New Roman" w:eastAsia="楷体" w:cs="Times New Roman"/>
          <w:color w:val="auto"/>
          <w:sz w:val="32"/>
          <w:highlight w:val="none"/>
        </w:rPr>
        <w:t>1</w:t>
      </w:r>
      <w:r>
        <w:rPr>
          <w:rFonts w:ascii="Times New Roman" w:hAnsi="楷体" w:eastAsia="楷体" w:cs="Times New Roman"/>
          <w:color w:val="auto"/>
          <w:sz w:val="32"/>
          <w:highlight w:val="none"/>
        </w:rPr>
        <w:t>日）</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在天河辖区内依法登记注册</w:t>
      </w:r>
      <w:r>
        <w:rPr>
          <w:rFonts w:hint="eastAsia" w:ascii="Times New Roman" w:eastAsia="仿宋_GB2312" w:cs="Times New Roman"/>
          <w:color w:val="auto"/>
          <w:sz w:val="32"/>
          <w:szCs w:val="32"/>
          <w:highlight w:val="none"/>
        </w:rPr>
        <w:t>、</w:t>
      </w:r>
      <w:r>
        <w:rPr>
          <w:rFonts w:ascii="Times New Roman" w:eastAsia="仿宋_GB2312" w:cs="Times New Roman"/>
          <w:color w:val="auto"/>
          <w:sz w:val="32"/>
          <w:szCs w:val="32"/>
          <w:highlight w:val="none"/>
        </w:rPr>
        <w:t>依法纳税、依法统计；</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履行统计数据申报义务、守法经营、诚实守信</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ascii="Times New Roman" w:eastAsia="仿宋_GB2312" w:cs="Times New Roman"/>
          <w:color w:val="auto"/>
          <w:sz w:val="32"/>
          <w:szCs w:val="32"/>
          <w:highlight w:val="none"/>
        </w:rPr>
        <w:t>；</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5</w:t>
      </w:r>
      <w:r>
        <w:rPr>
          <w:rFonts w:ascii="Times New Roman" w:hAnsi="Times New Roman" w:eastAsia="仿宋_GB2312" w:cs="Times New Roman"/>
          <w:color w:val="auto"/>
          <w:sz w:val="32"/>
          <w:szCs w:val="32"/>
          <w:highlight w:val="none"/>
        </w:rPr>
        <w:t>.</w:t>
      </w:r>
      <w:r>
        <w:rPr>
          <w:rFonts w:ascii="Times New Roman" w:eastAsia="仿宋_GB2312" w:cs="Times New Roman"/>
          <w:color w:val="auto"/>
          <w:sz w:val="32"/>
          <w:szCs w:val="32"/>
          <w:highlight w:val="none"/>
        </w:rPr>
        <w:t>应积极配合区委、区政府相关工作。</w:t>
      </w:r>
    </w:p>
    <w:p>
      <w:pPr>
        <w:spacing w:line="560" w:lineRule="exact"/>
        <w:ind w:firstLine="640" w:firstLineChars="200"/>
        <w:rPr>
          <w:rFonts w:ascii="楷体" w:hAnsi="楷体" w:eastAsia="楷体" w:cs="Times New Roman"/>
          <w:color w:val="auto"/>
          <w:sz w:val="32"/>
          <w:szCs w:val="32"/>
          <w:highlight w:val="none"/>
        </w:rPr>
      </w:pPr>
      <w:r>
        <w:rPr>
          <w:rFonts w:ascii="楷体" w:hAnsi="楷体" w:eastAsia="楷体" w:cs="Times New Roman"/>
          <w:color w:val="auto"/>
          <w:sz w:val="32"/>
          <w:szCs w:val="32"/>
          <w:highlight w:val="none"/>
        </w:rPr>
        <w:t>（二）有下列情况之一的，本资金不予</w:t>
      </w:r>
      <w:r>
        <w:rPr>
          <w:rFonts w:hint="eastAsia" w:ascii="楷体" w:hAnsi="楷体" w:eastAsia="楷体" w:cs="Times New Roman"/>
          <w:color w:val="auto"/>
          <w:sz w:val="32"/>
          <w:szCs w:val="32"/>
          <w:highlight w:val="none"/>
          <w:lang w:eastAsia="zh-CN"/>
        </w:rPr>
        <w:t>支持</w:t>
      </w:r>
      <w:r>
        <w:rPr>
          <w:rFonts w:ascii="楷体" w:hAnsi="楷体" w:eastAsia="楷体"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0"/>
          <w:sz w:val="32"/>
          <w:szCs w:val="32"/>
          <w:highlight w:val="none"/>
        </w:rPr>
        <w:t>1.</w:t>
      </w:r>
      <w:r>
        <w:rPr>
          <w:rFonts w:hint="eastAsia" w:ascii="Times New Roman" w:hAnsi="Times New Roman" w:eastAsia="仿宋_GB2312" w:cs="Times New Roman"/>
          <w:color w:val="auto"/>
          <w:kern w:val="0"/>
          <w:sz w:val="32"/>
          <w:szCs w:val="32"/>
          <w:highlight w:val="none"/>
        </w:rPr>
        <w:t>未在天河区依法注册、依法纳统、依法纳税，或者</w:t>
      </w:r>
      <w:r>
        <w:rPr>
          <w:rFonts w:ascii="Times New Roman" w:hAnsi="Times New Roman" w:eastAsia="仿宋_GB2312" w:cs="Times New Roman"/>
          <w:color w:val="auto"/>
          <w:kern w:val="0"/>
          <w:sz w:val="32"/>
          <w:szCs w:val="32"/>
          <w:highlight w:val="none"/>
        </w:rPr>
        <w:t>提出</w:t>
      </w:r>
      <w:r>
        <w:rPr>
          <w:rFonts w:hint="eastAsia" w:ascii="Times New Roman" w:hAnsi="Times New Roman" w:eastAsia="仿宋_GB2312" w:cs="Times New Roman"/>
          <w:color w:val="auto"/>
          <w:kern w:val="0"/>
          <w:sz w:val="32"/>
          <w:szCs w:val="32"/>
          <w:highlight w:val="none"/>
        </w:rPr>
        <w:t>支持</w:t>
      </w:r>
      <w:r>
        <w:rPr>
          <w:rFonts w:ascii="Times New Roman" w:hAnsi="Times New Roman" w:eastAsia="仿宋_GB2312" w:cs="Times New Roman"/>
          <w:color w:val="auto"/>
          <w:kern w:val="0"/>
          <w:sz w:val="32"/>
          <w:szCs w:val="32"/>
          <w:highlight w:val="none"/>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eastAsia="zh-CN"/>
        </w:rPr>
        <w:t>等</w:t>
      </w:r>
      <w:r>
        <w:rPr>
          <w:rFonts w:ascii="Times New Roman" w:hAnsi="Times New Roman" w:eastAsia="仿宋_GB2312" w:cs="Times New Roman"/>
          <w:color w:val="auto"/>
          <w:kern w:val="0"/>
          <w:sz w:val="32"/>
          <w:szCs w:val="32"/>
          <w:highlight w:val="none"/>
        </w:rPr>
        <w:t>相关数据的；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申报材料有弄虚作假情况；</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3.获支持年度在广州市公共信用信息管理系统平台上有处罚、失信行为、被公安机关查处、正在立案阶段、涉及传销、非法集资等企业；</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4</w:t>
      </w:r>
      <w:r>
        <w:rPr>
          <w:rFonts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就同一事项</w:t>
      </w:r>
      <w:r>
        <w:rPr>
          <w:rFonts w:ascii="Times New Roman" w:hAnsi="Times New Roman" w:eastAsia="仿宋_GB2312"/>
          <w:color w:val="auto"/>
          <w:sz w:val="32"/>
          <w:szCs w:val="32"/>
          <w:highlight w:val="none"/>
        </w:rPr>
        <w:t>已获得天河区政府“一企一策”政策扶持的</w:t>
      </w:r>
      <w:r>
        <w:rPr>
          <w:rFonts w:hint="eastAsia" w:ascii="Times New Roman" w:hAnsi="Times New Roman" w:eastAsia="仿宋_GB2312"/>
          <w:color w:val="auto"/>
          <w:sz w:val="32"/>
          <w:szCs w:val="32"/>
          <w:highlight w:val="none"/>
        </w:rPr>
        <w:t>（协议中注明可享受本区普惠性政策的除外）；</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5.2020年及以前年度已获《</w:t>
      </w:r>
      <w:r>
        <w:rPr>
          <w:color w:val="auto"/>
          <w:highlight w:val="none"/>
        </w:rPr>
        <w:fldChar w:fldCharType="begin"/>
      </w:r>
      <w:r>
        <w:rPr>
          <w:color w:val="auto"/>
          <w:highlight w:val="none"/>
        </w:rPr>
        <w:instrText xml:space="preserve"> HYPERLINK "http://www.thnet.gov.cn/ztzl/thqgzlfzxlzc/zcwj/content/post_5573390.html" \o "广州市天河区产业发展专项资金支持重点企业落户实施办法" </w:instrText>
      </w:r>
      <w:r>
        <w:rPr>
          <w:color w:val="auto"/>
          <w:highlight w:val="none"/>
        </w:rPr>
        <w:fldChar w:fldCharType="separate"/>
      </w:r>
      <w:r>
        <w:rPr>
          <w:rFonts w:hint="eastAsia" w:ascii="Times New Roman" w:hAnsi="Times New Roman" w:eastAsia="仿宋_GB2312"/>
          <w:color w:val="auto"/>
          <w:sz w:val="32"/>
          <w:szCs w:val="32"/>
          <w:highlight w:val="none"/>
        </w:rPr>
        <w:t>广州市天河区产业发展专项资金支持重点企业落户实施办法</w:t>
      </w:r>
      <w:r>
        <w:rPr>
          <w:rFonts w:hint="eastAsia" w:ascii="Times New Roman" w:hAnsi="Times New Roman" w:eastAsia="仿宋_GB2312"/>
          <w:color w:val="auto"/>
          <w:sz w:val="32"/>
          <w:szCs w:val="32"/>
          <w:highlight w:val="none"/>
        </w:rPr>
        <w:fldChar w:fldCharType="end"/>
      </w:r>
      <w:r>
        <w:rPr>
          <w:rFonts w:hint="eastAsia" w:ascii="Times New Roman" w:hAnsi="Times New Roman" w:eastAsia="仿宋_GB2312"/>
          <w:color w:val="auto"/>
          <w:sz w:val="32"/>
          <w:szCs w:val="32"/>
          <w:highlight w:val="none"/>
        </w:rPr>
        <w:t>》支持的。</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sectPr>
          <w:footerReference r:id="rId3" w:type="default"/>
          <w:pgSz w:w="11905" w:h="16838"/>
          <w:pgMar w:top="2154" w:right="1474" w:bottom="2098" w:left="1587" w:header="850" w:footer="992" w:gutter="0"/>
          <w:pgNumType w:fmt="numberInDash"/>
          <w:cols w:space="0" w:num="1"/>
          <w:docGrid w:type="lines" w:linePitch="317" w:charSpace="0"/>
        </w:sectPr>
      </w:pPr>
    </w:p>
    <w:p>
      <w:pPr>
        <w:rPr>
          <w:rFonts w:ascii="Times New Roman" w:hAnsi="Times New Roman" w:eastAsia="仿宋_GB2312" w:cs="Times New Roman"/>
          <w:color w:val="auto"/>
          <w:sz w:val="32"/>
          <w:highlight w:val="none"/>
        </w:rPr>
      </w:pPr>
      <w:bookmarkStart w:id="7" w:name="_GoBack"/>
      <w:r>
        <w:drawing>
          <wp:inline distT="0" distB="0" distL="114300" distR="114300">
            <wp:extent cx="6019800" cy="8460740"/>
            <wp:effectExtent l="0" t="0" r="0"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019800" cy="8460740"/>
                    </a:xfrm>
                    <a:prstGeom prst="rect">
                      <a:avLst/>
                    </a:prstGeom>
                    <a:noFill/>
                    <a:ln>
                      <a:noFill/>
                    </a:ln>
                  </pic:spPr>
                </pic:pic>
              </a:graphicData>
            </a:graphic>
          </wp:inline>
        </w:drawing>
      </w:r>
      <w:bookmarkEnd w:id="7"/>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验资报告</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复印件1份，注册资金验资报告（分公司无需提供），加盖企业公章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业务许可证明</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复印件1份，国家金融监管部门或省市金融工作部门颁发的金融许可证、法人许可证或业务许可证明（若持有上述许可证明需提供），加盖企业公章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（联系电话：38622449，地址：天河区天府路1号2号楼617室，邮编：510000）</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pStyle w:val="12"/>
        <w:widowControl/>
        <w:wordWrap w:val="0"/>
        <w:snapToGrid w:val="0"/>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二</w:t>
      </w:r>
      <w:r>
        <w:rPr>
          <w:rFonts w:ascii="Times New Roman" w:hAnsi="Times New Roman" w:eastAsia="仿宋_GB2312" w:cs="Times New Roman"/>
          <w:color w:val="auto"/>
          <w:sz w:val="32"/>
          <w:highlight w:val="none"/>
        </w:rPr>
        <w:t>条【支持金融业重点企业落户】</w:t>
      </w:r>
      <w:bookmarkEnd w:id="6"/>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12</w:t>
      </w:r>
      <w:r>
        <w:rPr>
          <w:rFonts w:ascii="Times New Roman" w:hAnsi="Times New Roman" w:eastAsia="仿宋_GB2312" w:cs="Times New Roman"/>
          <w:color w:val="auto"/>
          <w:sz w:val="32"/>
          <w:highlight w:val="none"/>
        </w:rPr>
        <w:t>项支持金融业重点企业落户。（1）持牌法人金融机构落户奖励。对实收资本在2亿元以上的新落户持牌法人金融机构，按照企业落户后第一、二、三个完整会计年度分别给予对应年度对区经济发展贡献的100%、50%、50%奖励，每家企业三年累计最高不超过3000万元。对控股1家以上的新落户持牌法人金融机构的法人金融类控股公司（集团），按其所控股的本区金融机构参照上述标准应得奖励的1/5给予奖励，每家企业支持金额合计不超过其对应年度对区经济发展贡献的100%。（2）金融机构区域总部落户奖励。对新设立或新迁入的持牌金融机构一级分支机构（区域总部）及持牌专营机构，给予一次性120万元支持。（3）股权投资基金落户奖励。对管理规模达到50亿元以上并按国家相关规定完成备案手续的国家、省、市重大股权投资基金，给予股权投资管理企业一次性1000万元奖励。第</w:t>
      </w:r>
      <w:r>
        <w:rPr>
          <w:rFonts w:hint="eastAsia" w:ascii="Times New Roman" w:hAnsi="Times New Roman" w:eastAsia="仿宋_GB2312" w:cs="Times New Roman"/>
          <w:color w:val="auto"/>
          <w:sz w:val="32"/>
          <w:highlight w:val="none"/>
        </w:rPr>
        <w:t>十五</w:t>
      </w:r>
      <w:r>
        <w:rPr>
          <w:rFonts w:ascii="Times New Roman" w:hAnsi="Times New Roman" w:eastAsia="仿宋_GB2312" w:cs="Times New Roman"/>
          <w:color w:val="auto"/>
          <w:sz w:val="32"/>
          <w:highlight w:val="none"/>
        </w:rPr>
        <w:t>条【支持专业平台发展】第</w:t>
      </w:r>
      <w:r>
        <w:rPr>
          <w:rFonts w:hint="eastAsia" w:ascii="Times New Roman" w:hAnsi="Times New Roman" w:eastAsia="仿宋_GB2312" w:cs="Times New Roman"/>
          <w:color w:val="auto"/>
          <w:sz w:val="32"/>
          <w:highlight w:val="none"/>
        </w:rPr>
        <w:t>52</w:t>
      </w:r>
      <w:r>
        <w:rPr>
          <w:rFonts w:ascii="Times New Roman" w:hAnsi="Times New Roman" w:eastAsia="仿宋_GB2312" w:cs="Times New Roman"/>
          <w:color w:val="auto"/>
          <w:sz w:val="32"/>
          <w:highlight w:val="none"/>
        </w:rPr>
        <w:t>项支持金融市场交易平台。对上年度新落户的全国性金融市场交易平台，给予一次性2000万元支持。对上年度新落户的区域性金融市场交易平台</w:t>
      </w:r>
      <w:r>
        <w:rPr>
          <w:rFonts w:ascii="Times New Roman" w:hAnsi="Times New Roman" w:eastAsia="仿宋_GB2312" w:cs="Times New Roman"/>
          <w:color w:val="auto"/>
          <w:sz w:val="32"/>
          <w:szCs w:val="32"/>
          <w:highlight w:val="none"/>
        </w:rPr>
        <w:t>，给予一次性1000万元支持。</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hint="eastAsia" w:ascii="楷体" w:hAnsi="楷体" w:eastAsia="楷体" w:cs="楷体"/>
          <w:color w:val="auto"/>
          <w:sz w:val="32"/>
          <w:szCs w:val="32"/>
          <w:highlight w:val="none"/>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7"/>
        <w:spacing w:line="560" w:lineRule="exact"/>
        <w:ind w:firstLine="640"/>
        <w:rPr>
          <w:rFonts w:ascii="Times New Roman" w:hAnsi="Times New Roman" w:eastAsia="黑体" w:cs="Times New Roman"/>
          <w:color w:val="auto"/>
          <w:sz w:val="32"/>
          <w:highlight w:val="none"/>
        </w:rPr>
      </w:pPr>
      <w:r>
        <w:rPr>
          <w:rFonts w:hint="eastAsia" w:ascii="Times New Roman" w:hAnsi="Times New Roman" w:eastAsia="仿宋_GB2312" w:cs="Times New Roman"/>
          <w:color w:val="auto"/>
          <w:sz w:val="32"/>
          <w:szCs w:val="32"/>
          <w:highlight w:val="none"/>
        </w:rPr>
        <w:t>在项目申报或审核过程中，如区商务金融局认为需提供相关佐证材料，</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w:t>
      </w:r>
      <w:r>
        <w:rPr>
          <w:rFonts w:hint="eastAsia" w:ascii="Times New Roman" w:hAnsi="Times New Roman" w:eastAsia="仿宋_GB2312" w:cs="Times New Roman"/>
          <w:color w:val="auto"/>
          <w:sz w:val="32"/>
          <w:szCs w:val="32"/>
          <w:highlight w:val="none"/>
        </w:rPr>
        <w:t>且</w:t>
      </w:r>
      <w:r>
        <w:rPr>
          <w:rFonts w:ascii="Times New Roman" w:hAnsi="Times New Roman" w:eastAsia="仿宋_GB2312" w:cs="Times New Roman"/>
          <w:color w:val="auto"/>
          <w:sz w:val="32"/>
          <w:szCs w:val="32"/>
          <w:highlight w:val="none"/>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p>
      <w:pPr>
        <w:pStyle w:val="7"/>
        <w:spacing w:line="560" w:lineRule="exact"/>
        <w:ind w:firstLine="640"/>
        <w:rPr>
          <w:rFonts w:ascii="Times New Roman" w:hAnsi="Times New Roman" w:eastAsia="黑体" w:cs="Times New Roman"/>
          <w:color w:val="auto"/>
          <w:sz w:val="32"/>
          <w:highlight w:val="none"/>
        </w:rPr>
      </w:pPr>
    </w:p>
    <w:sectPr>
      <w:footerReference r:id="rId4"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- 3 -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- 5 -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40999"/>
    <w:rsid w:val="00051447"/>
    <w:rsid w:val="000E1950"/>
    <w:rsid w:val="001057C1"/>
    <w:rsid w:val="0013314D"/>
    <w:rsid w:val="001342FD"/>
    <w:rsid w:val="00172A27"/>
    <w:rsid w:val="001A5E71"/>
    <w:rsid w:val="00206F76"/>
    <w:rsid w:val="002606F7"/>
    <w:rsid w:val="00264D05"/>
    <w:rsid w:val="00281680"/>
    <w:rsid w:val="002A376D"/>
    <w:rsid w:val="002B4039"/>
    <w:rsid w:val="003413AE"/>
    <w:rsid w:val="00390900"/>
    <w:rsid w:val="003B7550"/>
    <w:rsid w:val="00404267"/>
    <w:rsid w:val="00483DCD"/>
    <w:rsid w:val="00522AB1"/>
    <w:rsid w:val="0058500C"/>
    <w:rsid w:val="005A2AB0"/>
    <w:rsid w:val="005E685A"/>
    <w:rsid w:val="00605DDA"/>
    <w:rsid w:val="00647D1C"/>
    <w:rsid w:val="006866A5"/>
    <w:rsid w:val="00690E60"/>
    <w:rsid w:val="006A61C6"/>
    <w:rsid w:val="00736485"/>
    <w:rsid w:val="0075036F"/>
    <w:rsid w:val="007625ED"/>
    <w:rsid w:val="007D2495"/>
    <w:rsid w:val="00827B50"/>
    <w:rsid w:val="008618F1"/>
    <w:rsid w:val="00873F18"/>
    <w:rsid w:val="008B20C0"/>
    <w:rsid w:val="009104BD"/>
    <w:rsid w:val="00943E7B"/>
    <w:rsid w:val="009D42EB"/>
    <w:rsid w:val="00A46F20"/>
    <w:rsid w:val="00A811AE"/>
    <w:rsid w:val="00D20A80"/>
    <w:rsid w:val="00D355A0"/>
    <w:rsid w:val="00DB13A5"/>
    <w:rsid w:val="00DB2680"/>
    <w:rsid w:val="00E07AF0"/>
    <w:rsid w:val="00E50D17"/>
    <w:rsid w:val="00F107E5"/>
    <w:rsid w:val="00F11F55"/>
    <w:rsid w:val="00F80ECC"/>
    <w:rsid w:val="03A024E2"/>
    <w:rsid w:val="07D34B7C"/>
    <w:rsid w:val="09614E6A"/>
    <w:rsid w:val="09702D62"/>
    <w:rsid w:val="0B375949"/>
    <w:rsid w:val="1093518E"/>
    <w:rsid w:val="11132DDE"/>
    <w:rsid w:val="111D4088"/>
    <w:rsid w:val="111E4A8F"/>
    <w:rsid w:val="137C675F"/>
    <w:rsid w:val="14101DB6"/>
    <w:rsid w:val="14F01798"/>
    <w:rsid w:val="15560308"/>
    <w:rsid w:val="15F46AC7"/>
    <w:rsid w:val="16683AF5"/>
    <w:rsid w:val="1B5F759B"/>
    <w:rsid w:val="1BCF002B"/>
    <w:rsid w:val="1C286255"/>
    <w:rsid w:val="1EF94490"/>
    <w:rsid w:val="1F0C2CA5"/>
    <w:rsid w:val="1F3271D4"/>
    <w:rsid w:val="1F696895"/>
    <w:rsid w:val="204B5F3D"/>
    <w:rsid w:val="21DF3BA6"/>
    <w:rsid w:val="221E4E7D"/>
    <w:rsid w:val="23402B49"/>
    <w:rsid w:val="2425430C"/>
    <w:rsid w:val="245603A3"/>
    <w:rsid w:val="277C59F6"/>
    <w:rsid w:val="29CC6595"/>
    <w:rsid w:val="2A7C57CB"/>
    <w:rsid w:val="2B7D759B"/>
    <w:rsid w:val="2D3835D9"/>
    <w:rsid w:val="2E3A0C2C"/>
    <w:rsid w:val="2EF125E6"/>
    <w:rsid w:val="2FBD17E0"/>
    <w:rsid w:val="325B0AB7"/>
    <w:rsid w:val="328C52E9"/>
    <w:rsid w:val="33885662"/>
    <w:rsid w:val="349168AE"/>
    <w:rsid w:val="34C847EC"/>
    <w:rsid w:val="3841792A"/>
    <w:rsid w:val="3A9F451F"/>
    <w:rsid w:val="3E5F27F5"/>
    <w:rsid w:val="3FAE4385"/>
    <w:rsid w:val="40146454"/>
    <w:rsid w:val="474073BF"/>
    <w:rsid w:val="498D6104"/>
    <w:rsid w:val="4E931B8C"/>
    <w:rsid w:val="4FF4136F"/>
    <w:rsid w:val="581B2790"/>
    <w:rsid w:val="58B812B9"/>
    <w:rsid w:val="59FF70F7"/>
    <w:rsid w:val="5AF77728"/>
    <w:rsid w:val="60234D91"/>
    <w:rsid w:val="616126EA"/>
    <w:rsid w:val="65B464FE"/>
    <w:rsid w:val="67C100DA"/>
    <w:rsid w:val="6A9C095F"/>
    <w:rsid w:val="6AAD3D02"/>
    <w:rsid w:val="6B1C4331"/>
    <w:rsid w:val="6BE16598"/>
    <w:rsid w:val="6DB70C2C"/>
    <w:rsid w:val="6DBD40FB"/>
    <w:rsid w:val="6E2E1B98"/>
    <w:rsid w:val="6E7B0883"/>
    <w:rsid w:val="6EC7748E"/>
    <w:rsid w:val="6F14109B"/>
    <w:rsid w:val="6FD4538A"/>
    <w:rsid w:val="74F54164"/>
    <w:rsid w:val="77A5246D"/>
    <w:rsid w:val="77AD5410"/>
    <w:rsid w:val="77C2193D"/>
    <w:rsid w:val="785335B1"/>
    <w:rsid w:val="7B8A1F4C"/>
    <w:rsid w:val="7C855097"/>
    <w:rsid w:val="7E7C03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字符"/>
    <w:basedOn w:val="10"/>
    <w:link w:val="5"/>
    <w:qFormat/>
    <w:uiPriority w:val="0"/>
    <w:rPr>
      <w:rFonts w:asciiTheme="minorHAnsi" w:hAnsiTheme="minorHAnsi" w:eastAsiaTheme="minorEastAsia" w:cstheme="minorBidi"/>
      <w:kern w:val="2"/>
      <w:sz w:val="18"/>
      <w:szCs w:val="18"/>
    </w:rPr>
  </w:style>
  <w:style w:type="character" w:customStyle="1" w:styleId="14">
    <w:name w:val="页脚 字符"/>
    <w:basedOn w:val="10"/>
    <w:link w:val="4"/>
    <w:qFormat/>
    <w:uiPriority w:val="0"/>
    <w:rPr>
      <w:rFonts w:asciiTheme="minorHAnsi" w:hAnsiTheme="minorHAnsi" w:eastAsiaTheme="minorEastAsia" w:cstheme="minorBidi"/>
      <w:kern w:val="2"/>
      <w:sz w:val="18"/>
      <w:szCs w:val="18"/>
    </w:rPr>
  </w:style>
  <w:style w:type="character" w:customStyle="1" w:styleId="15">
    <w:name w:val="批注框文本 字符"/>
    <w:basedOn w:val="10"/>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8</Pages>
  <Words>481</Words>
  <Characters>2746</Characters>
  <Lines>22</Lines>
  <Paragraphs>6</Paragraphs>
  <TotalTime>2</TotalTime>
  <ScaleCrop>false</ScaleCrop>
  <LinksUpToDate>false</LinksUpToDate>
  <CharactersWithSpaces>3221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2021-04-12T11:50:00Z</dcterms:created>
  <dc:creator>admin</dc:creator>
  <cp:lastModifiedBy>tanjy01</cp:lastModifiedBy>
  <cp:lastPrinted>2021-04-22T09:40:39Z</cp:lastPrinted>
  <dcterms:modified xsi:type="dcterms:W3CDTF">2021-04-22T09:43:24Z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