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eastAsia="方正小标宋_GBK" w:cs="Times New Roman"/>
          <w:color w:val="auto"/>
          <w:sz w:val="44"/>
          <w:szCs w:val="44"/>
          <w:highlight w:val="none"/>
        </w:rPr>
      </w:pPr>
      <w:r>
        <w:rPr>
          <w:rFonts w:hint="eastAsia" w:ascii="Times New Roman" w:eastAsia="方正小标宋_GBK" w:cs="Times New Roman"/>
          <w:color w:val="auto"/>
          <w:sz w:val="44"/>
          <w:szCs w:val="44"/>
          <w:highlight w:val="none"/>
        </w:rPr>
        <w:t>天河区加强</w:t>
      </w:r>
      <w:r>
        <w:rPr>
          <w:rFonts w:ascii="Times New Roman" w:eastAsia="方正小标宋_GBK" w:cs="Times New Roman"/>
          <w:color w:val="auto"/>
          <w:sz w:val="44"/>
          <w:szCs w:val="44"/>
          <w:highlight w:val="none"/>
        </w:rPr>
        <w:t>风投公共服务集聚项目</w:t>
      </w:r>
    </w:p>
    <w:p>
      <w:pPr>
        <w:spacing w:line="560" w:lineRule="exact"/>
        <w:jc w:val="center"/>
        <w:rPr>
          <w:rFonts w:ascii="Times New Roman" w:eastAsia="方正小标宋_GBK" w:cs="Times New Roman"/>
          <w:color w:val="auto"/>
          <w:sz w:val="44"/>
          <w:szCs w:val="44"/>
          <w:highlight w:val="none"/>
        </w:rPr>
      </w:pPr>
      <w:r>
        <w:rPr>
          <w:rFonts w:hint="eastAsia" w:ascii="Times New Roman" w:eastAsia="方正小标宋_GBK" w:cs="Times New Roman"/>
          <w:color w:val="auto"/>
          <w:sz w:val="44"/>
          <w:szCs w:val="44"/>
          <w:highlight w:val="none"/>
        </w:rPr>
        <w:t>办事指南</w:t>
      </w:r>
    </w:p>
    <w:p>
      <w:pPr>
        <w:pStyle w:val="2"/>
        <w:ind w:firstLine="420"/>
        <w:rPr>
          <w:color w:val="auto"/>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sz w:val="32"/>
          <w:highlight w:val="none"/>
        </w:rPr>
        <w:t>1.申报对象：</w:t>
      </w:r>
      <w:r>
        <w:rPr>
          <w:rFonts w:ascii="Times New Roman" w:eastAsia="仿宋_GB2312" w:cs="Times New Roman"/>
          <w:color w:val="auto"/>
          <w:kern w:val="0"/>
          <w:sz w:val="32"/>
          <w:szCs w:val="32"/>
          <w:highlight w:val="none"/>
        </w:rPr>
        <w:t>对租赁中国风投天河大厦作自用办公用房的风险投资行业协会、对经天河区政府遴选程序选择的中国风投天河大厦公共运营平台第三方机构</w:t>
      </w:r>
      <w:r>
        <w:rPr>
          <w:rFonts w:hint="eastAsia" w:ascii="Times New Roman" w:eastAsia="仿宋_GB2312" w:cs="Times New Roman"/>
          <w:color w:val="auto"/>
          <w:kern w:val="0"/>
          <w:sz w:val="32"/>
          <w:szCs w:val="32"/>
          <w:highlight w:val="none"/>
        </w:rPr>
        <w:t>。</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w:t>
      </w:r>
      <w:r>
        <w:rPr>
          <w:rFonts w:hint="eastAsia" w:ascii="Times New Roman" w:eastAsia="仿宋_GB2312" w:cs="Times New Roman"/>
          <w:color w:val="auto"/>
          <w:kern w:val="0"/>
          <w:sz w:val="32"/>
          <w:szCs w:val="32"/>
          <w:highlight w:val="none"/>
        </w:rPr>
        <w:t>按实际租金补贴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1845"/>
      <w:bookmarkStart w:id="1" w:name="_Toc166952597"/>
      <w:bookmarkStart w:id="2" w:name="_Toc166951318"/>
      <w:bookmarkStart w:id="3" w:name="_Toc166952383"/>
      <w:bookmarkStart w:id="4" w:name="_Toc166954084"/>
      <w:bookmarkStart w:id="5" w:name="_Toc166952865"/>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w:t>
      </w:r>
      <w:r>
        <w:rPr>
          <w:rFonts w:hint="eastAsia" w:ascii="Times New Roman" w:hAnsi="Times New Roman" w:eastAsia="仿宋_GB2312" w:cs="Times New Roman"/>
          <w:color w:val="auto"/>
          <w:sz w:val="32"/>
          <w:highlight w:val="none"/>
        </w:rPr>
        <w:t>449</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sz w:val="32"/>
          <w:highlight w:val="none"/>
        </w:rPr>
        <w:t>9.项目描述：</w:t>
      </w:r>
      <w:r>
        <w:rPr>
          <w:rFonts w:ascii="Times New Roman" w:eastAsia="仿宋_GB2312" w:cs="Times New Roman"/>
          <w:color w:val="auto"/>
          <w:kern w:val="0"/>
          <w:sz w:val="32"/>
          <w:szCs w:val="32"/>
          <w:highlight w:val="none"/>
        </w:rPr>
        <w:t>对租赁中国风投天河大厦作自用办公用房的风险投资行业协会，在</w:t>
      </w:r>
      <w:r>
        <w:rPr>
          <w:rFonts w:ascii="Times New Roman" w:hAnsi="Times New Roman" w:eastAsia="仿宋_GB2312" w:cs="Times New Roman"/>
          <w:color w:val="auto"/>
          <w:kern w:val="0"/>
          <w:sz w:val="32"/>
          <w:szCs w:val="32"/>
          <w:highlight w:val="none"/>
        </w:rPr>
        <w:t>600</w:t>
      </w:r>
      <w:r>
        <w:rPr>
          <w:rFonts w:ascii="Times New Roman" w:eastAsia="仿宋_GB2312" w:cs="Times New Roman"/>
          <w:color w:val="auto"/>
          <w:kern w:val="0"/>
          <w:sz w:val="32"/>
          <w:szCs w:val="32"/>
          <w:highlight w:val="none"/>
        </w:rPr>
        <w:t>平方米以内按照租金的</w:t>
      </w:r>
      <w:r>
        <w:rPr>
          <w:rFonts w:ascii="Times New Roman" w:hAnsi="Times New Roman" w:eastAsia="仿宋_GB2312" w:cs="Times New Roman"/>
          <w:color w:val="auto"/>
          <w:kern w:val="0"/>
          <w:sz w:val="32"/>
          <w:szCs w:val="32"/>
          <w:highlight w:val="none"/>
        </w:rPr>
        <w:t>50%</w:t>
      </w:r>
      <w:r>
        <w:rPr>
          <w:rFonts w:ascii="Times New Roman" w:eastAsia="仿宋_GB2312" w:cs="Times New Roman"/>
          <w:color w:val="auto"/>
          <w:kern w:val="0"/>
          <w:sz w:val="32"/>
          <w:szCs w:val="32"/>
          <w:highlight w:val="none"/>
        </w:rPr>
        <w:t>连续三年给予租金支持；对经天河区政府遴选程序选择的中国风投天河大厦公共运营平台第三方机构，在</w:t>
      </w:r>
      <w:r>
        <w:rPr>
          <w:rFonts w:ascii="Times New Roman" w:hAnsi="Times New Roman" w:eastAsia="仿宋_GB2312" w:cs="Times New Roman"/>
          <w:color w:val="auto"/>
          <w:kern w:val="0"/>
          <w:sz w:val="32"/>
          <w:szCs w:val="32"/>
          <w:highlight w:val="none"/>
        </w:rPr>
        <w:t>1000</w:t>
      </w:r>
      <w:r>
        <w:rPr>
          <w:rFonts w:ascii="Times New Roman" w:eastAsia="仿宋_GB2312" w:cs="Times New Roman"/>
          <w:color w:val="auto"/>
          <w:kern w:val="0"/>
          <w:sz w:val="32"/>
          <w:szCs w:val="32"/>
          <w:highlight w:val="none"/>
        </w:rPr>
        <w:t>平方米以内按照租金的</w:t>
      </w:r>
      <w:r>
        <w:rPr>
          <w:rFonts w:ascii="Times New Roman" w:hAnsi="Times New Roman" w:eastAsia="仿宋_GB2312" w:cs="Times New Roman"/>
          <w:color w:val="auto"/>
          <w:kern w:val="0"/>
          <w:sz w:val="32"/>
          <w:szCs w:val="32"/>
          <w:highlight w:val="none"/>
        </w:rPr>
        <w:t>50%</w:t>
      </w:r>
      <w:r>
        <w:rPr>
          <w:rFonts w:ascii="Times New Roman" w:eastAsia="仿宋_GB2312" w:cs="Times New Roman"/>
          <w:color w:val="auto"/>
          <w:kern w:val="0"/>
          <w:sz w:val="32"/>
          <w:szCs w:val="32"/>
          <w:highlight w:val="none"/>
        </w:rPr>
        <w:t>连续三年给予租金支持。</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（一）申请本项资金</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的企业应符合以下条件：</w:t>
      </w:r>
    </w:p>
    <w:p>
      <w:pPr>
        <w:widowControl/>
        <w:spacing w:line="560" w:lineRule="exact"/>
        <w:ind w:firstLine="640" w:firstLineChars="200"/>
        <w:rPr>
          <w:rFonts w:asci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1.</w:t>
      </w:r>
      <w:r>
        <w:rPr>
          <w:rFonts w:ascii="Times New Roman" w:eastAsia="仿宋_GB2312" w:cs="Times New Roman"/>
          <w:color w:val="auto"/>
          <w:kern w:val="0"/>
          <w:sz w:val="32"/>
          <w:szCs w:val="32"/>
          <w:highlight w:val="none"/>
        </w:rPr>
        <w:t>工商注册、税务</w:t>
      </w:r>
      <w:r>
        <w:rPr>
          <w:rFonts w:hint="eastAsia" w:ascii="Times New Roman" w:eastAsia="仿宋_GB2312" w:cs="Times New Roman"/>
          <w:color w:val="auto"/>
          <w:kern w:val="0"/>
          <w:sz w:val="32"/>
          <w:szCs w:val="32"/>
          <w:highlight w:val="none"/>
          <w:lang w:eastAsia="zh-CN"/>
        </w:rPr>
        <w:t>关系</w:t>
      </w:r>
      <w:r>
        <w:rPr>
          <w:rFonts w:ascii="Times New Roman" w:eastAsia="仿宋_GB2312" w:cs="Times New Roman"/>
          <w:color w:val="auto"/>
          <w:kern w:val="0"/>
          <w:sz w:val="32"/>
          <w:szCs w:val="32"/>
          <w:highlight w:val="none"/>
        </w:rPr>
        <w:t>、统计关系在天河区，实际办公地址、运营场所在中国风投天河大厦</w:t>
      </w:r>
      <w:r>
        <w:rPr>
          <w:rFonts w:hint="eastAsia" w:ascii="Times New Roman" w:eastAsia="仿宋_GB2312" w:cs="Times New Roman"/>
          <w:color w:val="auto"/>
          <w:kern w:val="0"/>
          <w:sz w:val="32"/>
          <w:szCs w:val="32"/>
          <w:highlight w:val="none"/>
        </w:rPr>
        <w:t>；</w:t>
      </w:r>
    </w:p>
    <w:p>
      <w:pPr>
        <w:pStyle w:val="2"/>
        <w:spacing w:line="560" w:lineRule="exact"/>
        <w:ind w:firstLine="640"/>
        <w:rPr>
          <w:color w:val="auto"/>
          <w:highlight w:val="none"/>
        </w:rPr>
      </w:pPr>
      <w:r>
        <w:rPr>
          <w:rFonts w:hint="eastAsia" w:ascii="Times New Roman" w:eastAsia="仿宋_GB2312" w:cs="Times New Roman"/>
          <w:color w:val="auto"/>
          <w:kern w:val="0"/>
          <w:sz w:val="32"/>
          <w:szCs w:val="32"/>
          <w:highlight w:val="none"/>
        </w:rPr>
        <w:t>2.</w:t>
      </w:r>
      <w:r>
        <w:rPr>
          <w:rFonts w:ascii="Times New Roman" w:eastAsia="仿宋_GB2312" w:cs="Times New Roman"/>
          <w:color w:val="auto"/>
          <w:kern w:val="0"/>
          <w:sz w:val="32"/>
          <w:szCs w:val="32"/>
          <w:highlight w:val="none"/>
        </w:rPr>
        <w:t>租赁中国风投天河大厦作自用办公用房的风险投资行业协会</w:t>
      </w:r>
      <w:r>
        <w:rPr>
          <w:rFonts w:hint="eastAsia" w:ascii="Times New Roman" w:eastAsia="仿宋_GB2312" w:cs="Times New Roman"/>
          <w:color w:val="auto"/>
          <w:kern w:val="0"/>
          <w:sz w:val="32"/>
          <w:szCs w:val="32"/>
          <w:highlight w:val="none"/>
        </w:rPr>
        <w:t>或</w:t>
      </w:r>
      <w:r>
        <w:rPr>
          <w:rFonts w:ascii="Times New Roman" w:eastAsia="仿宋_GB2312" w:cs="Times New Roman"/>
          <w:color w:val="auto"/>
          <w:kern w:val="0"/>
          <w:sz w:val="32"/>
          <w:szCs w:val="32"/>
          <w:highlight w:val="none"/>
        </w:rPr>
        <w:t>中国风投天河大厦公共运营平台第三方机构</w:t>
      </w:r>
      <w:r>
        <w:rPr>
          <w:rFonts w:hint="eastAsia" w:ascii="Times New Roman" w:eastAsia="仿宋_GB2312" w:cs="Times New Roman"/>
          <w:color w:val="auto"/>
          <w:kern w:val="0"/>
          <w:sz w:val="32"/>
          <w:szCs w:val="32"/>
          <w:highlight w:val="none"/>
        </w:rPr>
        <w:t>；</w:t>
      </w:r>
    </w:p>
    <w:p>
      <w:pPr>
        <w:widowControl/>
        <w:spacing w:line="560" w:lineRule="exact"/>
        <w:ind w:firstLine="640" w:firstLineChars="200"/>
        <w:rPr>
          <w:rFonts w:ascii="Times New Roman" w:hAnsi="Times New Roman" w:eastAsia="仿宋_GB2312" w:cs="Times New Roman"/>
          <w:color w:val="auto"/>
          <w:kern w:val="0"/>
          <w:sz w:val="32"/>
          <w:szCs w:val="32"/>
          <w:highlight w:val="none"/>
        </w:rPr>
      </w:pPr>
      <w:r>
        <w:rPr>
          <w:rFonts w:hint="eastAsia" w:ascii="Times New Roman" w:hAnsi="Times New Roman" w:eastAsia="仿宋_GB2312" w:cs="Times New Roman"/>
          <w:color w:val="auto"/>
          <w:kern w:val="0"/>
          <w:sz w:val="32"/>
          <w:szCs w:val="32"/>
          <w:highlight w:val="none"/>
        </w:rPr>
        <w:t>4</w:t>
      </w:r>
      <w:r>
        <w:rPr>
          <w:rFonts w:ascii="Times New Roman" w:hAnsi="Times New Roman" w:eastAsia="仿宋_GB2312" w:cs="Times New Roman"/>
          <w:color w:val="auto"/>
          <w:kern w:val="0"/>
          <w:sz w:val="32"/>
          <w:szCs w:val="32"/>
          <w:highlight w:val="none"/>
        </w:rPr>
        <w:t>.</w:t>
      </w:r>
      <w:r>
        <w:rPr>
          <w:rFonts w:ascii="Times New Roman" w:eastAsia="仿宋_GB2312" w:cs="Times New Roman"/>
          <w:color w:val="auto"/>
          <w:kern w:val="0"/>
          <w:sz w:val="32"/>
          <w:szCs w:val="32"/>
          <w:highlight w:val="none"/>
        </w:rPr>
        <w:t>经天河区责任管理部门认定；</w:t>
      </w:r>
    </w:p>
    <w:p>
      <w:pPr>
        <w:widowControl/>
        <w:spacing w:line="560" w:lineRule="exact"/>
        <w:ind w:firstLine="640" w:firstLineChars="200"/>
        <w:rPr>
          <w:rFonts w:ascii="Times New Roman" w:hAnsi="Times New Roman" w:eastAsia="仿宋_GB2312" w:cs="Times New Roman"/>
          <w:color w:val="auto"/>
          <w:kern w:val="0"/>
          <w:sz w:val="32"/>
          <w:szCs w:val="32"/>
          <w:highlight w:val="none"/>
        </w:rPr>
      </w:pPr>
      <w:r>
        <w:rPr>
          <w:rFonts w:hint="eastAsia" w:ascii="Times New Roman" w:hAnsi="Times New Roman" w:eastAsia="仿宋_GB2312" w:cs="Times New Roman"/>
          <w:color w:val="auto"/>
          <w:kern w:val="0"/>
          <w:sz w:val="32"/>
          <w:szCs w:val="32"/>
          <w:highlight w:val="none"/>
        </w:rPr>
        <w:t>5</w:t>
      </w:r>
      <w:r>
        <w:rPr>
          <w:rFonts w:ascii="Times New Roman" w:hAnsi="Times New Roman" w:eastAsia="仿宋_GB2312" w:cs="Times New Roman"/>
          <w:color w:val="auto"/>
          <w:kern w:val="0"/>
          <w:sz w:val="32"/>
          <w:szCs w:val="32"/>
          <w:highlight w:val="none"/>
        </w:rPr>
        <w:t>.</w:t>
      </w:r>
      <w:r>
        <w:rPr>
          <w:rFonts w:ascii="Times New Roman" w:eastAsia="仿宋_GB2312" w:cs="Times New Roman"/>
          <w:color w:val="auto"/>
          <w:kern w:val="0"/>
          <w:sz w:val="32"/>
          <w:szCs w:val="32"/>
          <w:highlight w:val="none"/>
        </w:rPr>
        <w:t>配合天河区相关职能部门履行社会责任。</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（二）有下列情况之一的，本资金不予</w:t>
      </w:r>
      <w:r>
        <w:rPr>
          <w:rFonts w:hint="eastAsia" w:ascii="Times New Roman" w:eastAsia="仿宋_GB2312" w:cs="Times New Roman"/>
          <w:color w:val="auto"/>
          <w:sz w:val="32"/>
          <w:szCs w:val="32"/>
          <w:highlight w:val="none"/>
          <w:lang w:eastAsia="zh-CN"/>
        </w:rPr>
        <w:t>支持</w:t>
      </w:r>
      <w:r>
        <w:rPr>
          <w:rFonts w:ascii="Times New Roman" w:eastAsia="仿宋_GB2312" w:cs="Times New Roman"/>
          <w:color w:val="auto"/>
          <w:sz w:val="32"/>
          <w:szCs w:val="32"/>
          <w:highlight w:val="none"/>
        </w:rPr>
        <w:t>：</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1.</w:t>
      </w:r>
      <w:r>
        <w:rPr>
          <w:rFonts w:hint="eastAsia" w:ascii="Times New Roman" w:hAnsi="Times New Roman" w:eastAsia="仿宋_GB2312"/>
          <w:color w:val="auto"/>
          <w:sz w:val="32"/>
          <w:szCs w:val="32"/>
          <w:highlight w:val="none"/>
        </w:rPr>
        <w:t>未在天河区依法注册、依法纳统、依法纳税，或者</w:t>
      </w:r>
      <w:r>
        <w:rPr>
          <w:rFonts w:ascii="Times New Roman" w:hAnsi="Times New Roman" w:eastAsia="仿宋_GB2312"/>
          <w:color w:val="auto"/>
          <w:sz w:val="32"/>
          <w:szCs w:val="32"/>
          <w:highlight w:val="none"/>
        </w:rPr>
        <w:t>提出</w:t>
      </w:r>
      <w:r>
        <w:rPr>
          <w:rFonts w:hint="eastAsia" w:ascii="Times New Roman" w:hAnsi="Times New Roman" w:eastAsia="仿宋_GB2312"/>
          <w:color w:val="auto"/>
          <w:sz w:val="32"/>
          <w:szCs w:val="32"/>
          <w:highlight w:val="none"/>
        </w:rPr>
        <w:t>支持</w:t>
      </w:r>
      <w:r>
        <w:rPr>
          <w:rFonts w:ascii="Times New Roman" w:hAnsi="Times New Roman" w:eastAsia="仿宋_GB2312"/>
          <w:color w:val="auto"/>
          <w:sz w:val="32"/>
          <w:szCs w:val="32"/>
          <w:highlight w:val="none"/>
        </w:rPr>
        <w:t>申请后，将企业注册地搬离天河和未按规定提交统计报表</w:t>
      </w:r>
      <w:r>
        <w:rPr>
          <w:rFonts w:hint="eastAsia" w:ascii="Times New Roman" w:hAnsi="Times New Roman" w:eastAsia="仿宋_GB2312"/>
          <w:color w:val="auto"/>
          <w:sz w:val="32"/>
          <w:szCs w:val="32"/>
          <w:highlight w:val="none"/>
          <w:lang w:eastAsia="zh-CN"/>
        </w:rPr>
        <w:t>等</w:t>
      </w:r>
      <w:r>
        <w:rPr>
          <w:rFonts w:ascii="Times New Roman" w:hAnsi="Times New Roman" w:eastAsia="仿宋_GB2312"/>
          <w:color w:val="auto"/>
          <w:sz w:val="32"/>
          <w:szCs w:val="32"/>
          <w:highlight w:val="none"/>
        </w:rPr>
        <w:t>相关数据的；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2.申报材料有弄虚作假情况的；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3.获支持年度在广州市公共信用信息管理系统平台上有处罚、失信行为、被公安机关查处、正在立案阶段、涉及传销、非法集资等企业。</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4</w:t>
      </w: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就同一事项</w:t>
      </w:r>
      <w:r>
        <w:rPr>
          <w:rFonts w:ascii="Times New Roman" w:hAnsi="Times New Roman" w:eastAsia="仿宋_GB2312"/>
          <w:color w:val="auto"/>
          <w:sz w:val="32"/>
          <w:szCs w:val="32"/>
          <w:highlight w:val="none"/>
        </w:rPr>
        <w:t>已获得天河区政府“一企一策”政策扶持的</w:t>
      </w:r>
      <w:r>
        <w:rPr>
          <w:rFonts w:hint="eastAsia" w:ascii="Times New Roman" w:hAnsi="Times New Roman" w:eastAsia="仿宋_GB2312"/>
          <w:color w:val="auto"/>
          <w:sz w:val="32"/>
          <w:szCs w:val="32"/>
          <w:highlight w:val="none"/>
        </w:rPr>
        <w:t>（协议中注明可享受本区普惠性政策的除外）。</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sectPr>
          <w:footerReference r:id="rId3" w:type="default"/>
          <w:pgSz w:w="11905" w:h="16838"/>
          <w:pgMar w:top="2154" w:right="1474" w:bottom="2098" w:left="1587" w:header="850" w:footer="992" w:gutter="0"/>
          <w:pgNumType w:fmt="numberInDash"/>
          <w:cols w:space="0" w:num="1"/>
          <w:docGrid w:type="lines" w:linePitch="317" w:charSpace="0"/>
        </w:sectPr>
      </w:pPr>
    </w:p>
    <w:p>
      <w:pPr>
        <w:pStyle w:val="2"/>
        <w:ind w:firstLine="0" w:firstLineChars="0"/>
        <w:rPr>
          <w:rFonts w:ascii="Times New Roman" w:hAnsi="Times New Roman" w:eastAsia="黑体" w:cs="Times New Roman"/>
          <w:color w:val="auto"/>
          <w:sz w:val="32"/>
          <w:highlight w:val="none"/>
        </w:rPr>
      </w:pPr>
      <w:r>
        <w:drawing>
          <wp:inline distT="0" distB="0" distL="114300" distR="114300">
            <wp:extent cx="5828665" cy="7918450"/>
            <wp:effectExtent l="0" t="0" r="63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828665" cy="7918450"/>
                    </a:xfrm>
                    <a:prstGeom prst="rect">
                      <a:avLst/>
                    </a:prstGeom>
                    <a:noFill/>
                    <a:ln>
                      <a:noFill/>
                    </a:ln>
                  </pic:spPr>
                </pic:pic>
              </a:graphicData>
            </a:graphic>
          </wp:inline>
        </w:drawing>
      </w:r>
      <w:bookmarkStart w:id="7" w:name="_GoBack"/>
      <w:bookmarkEnd w:id="7"/>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证明材料</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复印件1份，提供属于本项目操作规程第一条中所列机构类型的证明材料，加盖企业公章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租赁合同及发票</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复印件1份，租赁办公场地书面合同及相关付款凭证、发票，填报租赁办公用房信息明细表，加盖企业公章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tabs>
          <w:tab w:val="left" w:pos="3980"/>
        </w:tabs>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第十七条【支持科技创新服务】</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6</w:t>
      </w:r>
      <w:r>
        <w:rPr>
          <w:rFonts w:ascii="Times New Roman" w:hAnsi="Times New Roman" w:eastAsia="仿宋_GB2312" w:cs="Times New Roman"/>
          <w:color w:val="auto"/>
          <w:sz w:val="32"/>
          <w:highlight w:val="none"/>
        </w:rPr>
        <w:t>3项加强风投公共服务集聚。对租赁中国风投天河大厦作自用办公用房的风险投资行业协会，在600平方米以内按照租金的50%连续三年给予租金支持；对经天河区政府遴选程序选择的中国风投天河大厦公共运营平台第三方机构，在1000平方米以内按照租金的50%连续三年给予租金支持。</w:t>
      </w:r>
    </w:p>
    <w:p>
      <w:pPr>
        <w:pStyle w:val="2"/>
        <w:spacing w:line="560" w:lineRule="exact"/>
        <w:ind w:firstLine="640"/>
        <w:rPr>
          <w:color w:val="auto"/>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2"/>
        <w:spacing w:line="560" w:lineRule="exact"/>
        <w:ind w:firstLine="640"/>
        <w:rPr>
          <w:rFonts w:ascii="Times New Roman" w:hAnsi="Times New Roman" w:eastAsia="黑体" w:cs="Times New Roman"/>
          <w:color w:val="auto"/>
          <w:sz w:val="32"/>
          <w:highlight w:val="none"/>
        </w:rPr>
      </w:pPr>
      <w:r>
        <w:rPr>
          <w:rFonts w:ascii="Times New Roman" w:hAnsi="Times New Roman" w:eastAsia="仿宋_GB2312" w:cs="Times New Roman"/>
          <w:color w:val="auto"/>
          <w:sz w:val="32"/>
          <w:szCs w:val="32"/>
          <w:highlight w:val="none"/>
        </w:rPr>
        <w:t>在项目申报或审核过程中</w:t>
      </w:r>
      <w:r>
        <w:rPr>
          <w:rFonts w:hint="eastAsia" w:ascii="Times New Roman" w:hAnsi="Times New Roman" w:eastAsia="仿宋_GB2312" w:cs="Times New Roman"/>
          <w:color w:val="auto"/>
          <w:sz w:val="32"/>
          <w:szCs w:val="32"/>
          <w:highlight w:val="none"/>
        </w:rPr>
        <w:t>，如区商务金融局认为需提供相关佐证材料，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sectPr>
      <w:footerReference r:id="rId4"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2" o:spid="_x0000_s4098" o:spt="202" type="#_x0000_t202" style="position:absolute;left:0pt;margin-top:0pt;height:144pt;width:144pt;mso-position-horizontal:outside;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- 6 -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741F9"/>
    <w:rsid w:val="00086491"/>
    <w:rsid w:val="000D19FE"/>
    <w:rsid w:val="00130613"/>
    <w:rsid w:val="00172A27"/>
    <w:rsid w:val="00193F02"/>
    <w:rsid w:val="001B3845"/>
    <w:rsid w:val="0038132C"/>
    <w:rsid w:val="003F710C"/>
    <w:rsid w:val="004C6D2B"/>
    <w:rsid w:val="00546113"/>
    <w:rsid w:val="005861B1"/>
    <w:rsid w:val="00643159"/>
    <w:rsid w:val="00666B33"/>
    <w:rsid w:val="007C2D78"/>
    <w:rsid w:val="007C7637"/>
    <w:rsid w:val="008811B5"/>
    <w:rsid w:val="00985568"/>
    <w:rsid w:val="009E0CDA"/>
    <w:rsid w:val="00AB32B9"/>
    <w:rsid w:val="00B2123E"/>
    <w:rsid w:val="00B66CE7"/>
    <w:rsid w:val="00B94F5F"/>
    <w:rsid w:val="00D33565"/>
    <w:rsid w:val="00D42DC5"/>
    <w:rsid w:val="00D43B3A"/>
    <w:rsid w:val="00D66818"/>
    <w:rsid w:val="00DC678F"/>
    <w:rsid w:val="00E215E0"/>
    <w:rsid w:val="00EF19E2"/>
    <w:rsid w:val="00F45CF7"/>
    <w:rsid w:val="00F74C79"/>
    <w:rsid w:val="00FA3258"/>
    <w:rsid w:val="00FB5927"/>
    <w:rsid w:val="00FF35D2"/>
    <w:rsid w:val="03A024E2"/>
    <w:rsid w:val="07D34B7C"/>
    <w:rsid w:val="09614E6A"/>
    <w:rsid w:val="0B375949"/>
    <w:rsid w:val="0FF40AA8"/>
    <w:rsid w:val="1093518E"/>
    <w:rsid w:val="11132DDE"/>
    <w:rsid w:val="111D4088"/>
    <w:rsid w:val="111E4A8F"/>
    <w:rsid w:val="12B87075"/>
    <w:rsid w:val="137C675F"/>
    <w:rsid w:val="13F54AD7"/>
    <w:rsid w:val="14F01798"/>
    <w:rsid w:val="15560308"/>
    <w:rsid w:val="15F46AC7"/>
    <w:rsid w:val="1B5F759B"/>
    <w:rsid w:val="1BCF002B"/>
    <w:rsid w:val="1C286255"/>
    <w:rsid w:val="1D815810"/>
    <w:rsid w:val="1EF94490"/>
    <w:rsid w:val="1F0C2CA5"/>
    <w:rsid w:val="1F3271D4"/>
    <w:rsid w:val="1F696895"/>
    <w:rsid w:val="204B5F3D"/>
    <w:rsid w:val="20CA7264"/>
    <w:rsid w:val="21DF3BA6"/>
    <w:rsid w:val="23402B49"/>
    <w:rsid w:val="2425430C"/>
    <w:rsid w:val="245603A3"/>
    <w:rsid w:val="29CC6595"/>
    <w:rsid w:val="2A7C57CB"/>
    <w:rsid w:val="2B7D759B"/>
    <w:rsid w:val="2D3835D9"/>
    <w:rsid w:val="2E3A0C2C"/>
    <w:rsid w:val="2EF125E6"/>
    <w:rsid w:val="2FBD17E0"/>
    <w:rsid w:val="325B0AB7"/>
    <w:rsid w:val="328C52E9"/>
    <w:rsid w:val="33885662"/>
    <w:rsid w:val="349168AE"/>
    <w:rsid w:val="350B5814"/>
    <w:rsid w:val="3841792A"/>
    <w:rsid w:val="3855241A"/>
    <w:rsid w:val="3A9F451F"/>
    <w:rsid w:val="3B703F8E"/>
    <w:rsid w:val="3E5F27F5"/>
    <w:rsid w:val="43E411DD"/>
    <w:rsid w:val="474073BF"/>
    <w:rsid w:val="498D6104"/>
    <w:rsid w:val="4E931B8C"/>
    <w:rsid w:val="4EC7448D"/>
    <w:rsid w:val="4FB20A6F"/>
    <w:rsid w:val="4FF4136F"/>
    <w:rsid w:val="58B812B9"/>
    <w:rsid w:val="59FF70F7"/>
    <w:rsid w:val="5AF77728"/>
    <w:rsid w:val="5B846C7A"/>
    <w:rsid w:val="5C5602BF"/>
    <w:rsid w:val="5E8225FC"/>
    <w:rsid w:val="5F0E016C"/>
    <w:rsid w:val="60234D91"/>
    <w:rsid w:val="605A51E5"/>
    <w:rsid w:val="616126EA"/>
    <w:rsid w:val="65B464FE"/>
    <w:rsid w:val="67C100DA"/>
    <w:rsid w:val="6A9C095F"/>
    <w:rsid w:val="6AAD3D02"/>
    <w:rsid w:val="6B1C4331"/>
    <w:rsid w:val="6BE16598"/>
    <w:rsid w:val="6DB70C2C"/>
    <w:rsid w:val="6E2E1B98"/>
    <w:rsid w:val="6EC7748E"/>
    <w:rsid w:val="6F14109B"/>
    <w:rsid w:val="6FD4538A"/>
    <w:rsid w:val="70563708"/>
    <w:rsid w:val="77A5246D"/>
    <w:rsid w:val="7B8A1F4C"/>
    <w:rsid w:val="7C8550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ind w:firstLine="200" w:firstLineChars="200"/>
    </w:pPr>
    <w:rPr>
      <w:szCs w:val="22"/>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6"/>
    <w:qFormat/>
    <w:uiPriority w:val="0"/>
    <w:rPr>
      <w:rFonts w:asciiTheme="minorHAnsi" w:hAnsiTheme="minorHAnsi" w:eastAsiaTheme="minorEastAsia" w:cstheme="minorBidi"/>
      <w:kern w:val="2"/>
      <w:sz w:val="18"/>
      <w:szCs w:val="18"/>
    </w:rPr>
  </w:style>
  <w:style w:type="character" w:customStyle="1" w:styleId="14">
    <w:name w:val="页脚 Char"/>
    <w:basedOn w:val="10"/>
    <w:link w:val="5"/>
    <w:qFormat/>
    <w:uiPriority w:val="0"/>
    <w:rPr>
      <w:rFonts w:asciiTheme="minorHAnsi" w:hAnsiTheme="minorHAnsi" w:eastAsiaTheme="minorEastAsia" w:cstheme="minorBidi"/>
      <w:kern w:val="2"/>
      <w:sz w:val="18"/>
      <w:szCs w:val="18"/>
    </w:rPr>
  </w:style>
  <w:style w:type="character" w:customStyle="1" w:styleId="15">
    <w:name w:val="批注框文本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313</Words>
  <Characters>1787</Characters>
  <Lines>14</Lines>
  <Paragraphs>4</Paragraphs>
  <TotalTime>0</TotalTime>
  <ScaleCrop>false</ScaleCrop>
  <LinksUpToDate>false</LinksUpToDate>
  <CharactersWithSpaces>2096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2021-04-16T01:38:00Z</cp:lastPrinted>
  <dcterms:modified xsi:type="dcterms:W3CDTF">2021-04-22T09:35:40Z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KSOSaveFontToCloudKey">
    <vt:lpwstr>539767449_cloud</vt:lpwstr>
  </property>
  <property fmtid="{D5CDD505-2E9C-101B-9397-08002B2CF9AE}" pid="4" name="ICV">
    <vt:lpwstr>6A4758F82E6B47DFA274A3B48731B783</vt:lpwstr>
  </property>
</Properties>
</file>