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240" w:afterLines="100" w:line="240" w:lineRule="atLeast"/>
        <w:rPr>
          <w:rFonts w:hint="eastAsia" w:ascii="黑体" w:hAnsi="黑体" w:eastAsia="黑体"/>
          <w:bCs/>
          <w:sz w:val="32"/>
          <w:szCs w:val="32"/>
        </w:rPr>
      </w:pPr>
      <w:r>
        <w:rPr>
          <w:rFonts w:hint="eastAsia" w:ascii="黑体" w:hAnsi="黑体" w:eastAsia="黑体"/>
          <w:bCs/>
          <w:sz w:val="32"/>
          <w:szCs w:val="32"/>
        </w:rPr>
        <w:t>附件四</w:t>
      </w:r>
    </w:p>
    <w:p>
      <w:pPr>
        <w:adjustRightInd w:val="0"/>
        <w:snapToGrid w:val="0"/>
        <w:spacing w:line="240" w:lineRule="atLeast"/>
        <w:jc w:val="center"/>
        <w:rPr>
          <w:rFonts w:hint="eastAsia" w:ascii="方正小标宋_GBK" w:hAnsi="宋体" w:eastAsia="方正小标宋_GBK"/>
          <w:sz w:val="44"/>
          <w:szCs w:val="44"/>
        </w:rPr>
      </w:pPr>
      <w:r>
        <w:rPr>
          <w:rFonts w:ascii="方正小标宋_GBK" w:hAnsi="宋体" w:eastAsia="方正小标宋_GBK"/>
          <w:sz w:val="44"/>
          <w:szCs w:val="44"/>
        </w:rPr>
        <w:t>关于组织申报20</w:t>
      </w:r>
      <w:r>
        <w:rPr>
          <w:rFonts w:hint="eastAsia" w:ascii="方正小标宋_GBK" w:hAnsi="宋体" w:eastAsia="方正小标宋_GBK"/>
          <w:sz w:val="44"/>
          <w:szCs w:val="44"/>
        </w:rPr>
        <w:t>21</w:t>
      </w:r>
      <w:r>
        <w:rPr>
          <w:rFonts w:ascii="方正小标宋_GBK" w:hAnsi="宋体" w:eastAsia="方正小标宋_GBK"/>
          <w:sz w:val="44"/>
          <w:szCs w:val="44"/>
        </w:rPr>
        <w:t>年度苏州市重点产业技术</w:t>
      </w:r>
    </w:p>
    <w:p>
      <w:pPr>
        <w:adjustRightInd w:val="0"/>
        <w:snapToGrid w:val="0"/>
        <w:spacing w:line="240" w:lineRule="atLeast"/>
        <w:jc w:val="center"/>
        <w:rPr>
          <w:rFonts w:ascii="方正小标宋_GBK" w:hAnsi="宋体" w:eastAsia="方正小标宋_GBK"/>
          <w:sz w:val="44"/>
          <w:szCs w:val="44"/>
        </w:rPr>
      </w:pPr>
      <w:r>
        <w:rPr>
          <w:rFonts w:ascii="方正小标宋_GBK" w:hAnsi="宋体" w:eastAsia="方正小标宋_GBK"/>
          <w:sz w:val="44"/>
          <w:szCs w:val="44"/>
        </w:rPr>
        <w:t>创新项目的通知</w:t>
      </w:r>
    </w:p>
    <w:p>
      <w:pPr>
        <w:adjustRightInd w:val="0"/>
        <w:snapToGrid w:val="0"/>
        <w:spacing w:line="600" w:lineRule="atLeast"/>
        <w:ind w:firstLine="883" w:firstLineChars="200"/>
        <w:rPr>
          <w:rFonts w:ascii="仿宋_GB2312" w:hAnsi="Times New Roman" w:eastAsia="仿宋_GB2312"/>
          <w:b/>
          <w:sz w:val="44"/>
          <w:szCs w:val="44"/>
        </w:rPr>
      </w:pPr>
    </w:p>
    <w:p>
      <w:pPr>
        <w:adjustRightInd w:val="0"/>
        <w:snapToGrid w:val="0"/>
        <w:spacing w:line="600" w:lineRule="atLeast"/>
        <w:rPr>
          <w:rFonts w:ascii="仿宋_GB2312" w:hAnsi="Times New Roman" w:eastAsia="仿宋_GB2312"/>
          <w:sz w:val="32"/>
          <w:szCs w:val="32"/>
        </w:rPr>
      </w:pPr>
      <w:r>
        <w:rPr>
          <w:rFonts w:hint="eastAsia" w:ascii="仿宋_GB2312" w:hAnsi="Times New Roman" w:eastAsia="仿宋_GB2312"/>
          <w:sz w:val="32"/>
          <w:szCs w:val="32"/>
        </w:rPr>
        <w:t>各市、区科技局，有关单位：</w:t>
      </w:r>
    </w:p>
    <w:p>
      <w:pPr>
        <w:adjustRightInd w:val="0"/>
        <w:snapToGrid w:val="0"/>
        <w:spacing w:line="600" w:lineRule="atLeast"/>
        <w:ind w:firstLine="640" w:firstLineChars="200"/>
        <w:rPr>
          <w:rFonts w:ascii="仿宋_GB2312" w:hAnsi="Times New Roman" w:eastAsia="仿宋_GB2312"/>
          <w:sz w:val="32"/>
          <w:szCs w:val="32"/>
        </w:rPr>
      </w:pPr>
      <w:r>
        <w:rPr>
          <w:rFonts w:ascii="仿宋_GB2312" w:hAnsi="Times New Roman" w:eastAsia="仿宋_GB2312"/>
          <w:sz w:val="32"/>
          <w:szCs w:val="32"/>
        </w:rPr>
        <w:t>为深入实施创新驱动发展战略，打好关键核心技术攻坚战，着力加强产业技术前沿领域的前瞻性研究和关键必争领域的重大核心技术攻关，为打造具有全球影响力的综合性产业创新中心提供有力支撑。现启动2021年度</w:t>
      </w:r>
      <w:r>
        <w:rPr>
          <w:rFonts w:hint="eastAsia" w:ascii="仿宋_GB2312" w:hAnsi="Times New Roman" w:eastAsia="仿宋_GB2312"/>
          <w:sz w:val="32"/>
          <w:szCs w:val="32"/>
        </w:rPr>
        <w:t>重点产业</w:t>
      </w:r>
      <w:r>
        <w:rPr>
          <w:rFonts w:ascii="仿宋_GB2312" w:hAnsi="Times New Roman" w:eastAsia="仿宋_GB2312"/>
          <w:sz w:val="32"/>
          <w:szCs w:val="32"/>
        </w:rPr>
        <w:t>技术创新项目申报工作，有关事项通知如下：</w:t>
      </w:r>
    </w:p>
    <w:p>
      <w:pPr>
        <w:adjustRightInd w:val="0"/>
        <w:snapToGrid w:val="0"/>
        <w:spacing w:line="600" w:lineRule="atLeast"/>
        <w:ind w:firstLine="640" w:firstLineChars="200"/>
        <w:rPr>
          <w:rFonts w:ascii="黑体" w:hAnsi="黑体" w:eastAsia="黑体"/>
          <w:sz w:val="32"/>
          <w:szCs w:val="32"/>
        </w:rPr>
      </w:pPr>
      <w:r>
        <w:rPr>
          <w:rFonts w:hint="eastAsia" w:ascii="黑体" w:hAnsi="黑体" w:eastAsia="黑体"/>
          <w:sz w:val="32"/>
          <w:szCs w:val="32"/>
        </w:rPr>
        <w:t>一、支持重点</w:t>
      </w:r>
    </w:p>
    <w:p>
      <w:pPr>
        <w:adjustRightInd w:val="0"/>
        <w:snapToGrid w:val="0"/>
        <w:spacing w:line="600" w:lineRule="atLeas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1.突出产业前瞻性技术应用基础研究。</w:t>
      </w:r>
      <w:r>
        <w:rPr>
          <w:rFonts w:hint="eastAsia" w:ascii="仿宋_GB2312" w:hAnsi="Times New Roman" w:eastAsia="仿宋_GB2312"/>
          <w:sz w:val="32"/>
          <w:szCs w:val="32"/>
        </w:rPr>
        <w:t>围绕“十四五”创新发展新形势，聚焦在苏高校、科研院所开展产业前瞻性技术应用研究，超前布局前沿性、颠覆性技术，前瞻性研究纳米技术、第三代半导体、战略新材料、人工智能、未来网络等领域关键核心技术，围绕创新链培育产业链，加快形成一批具有自主知识产权的原创性成果，为推进我市先导产业和高新技术产业发展奠定坚实基础。</w:t>
      </w:r>
    </w:p>
    <w:p>
      <w:pPr>
        <w:adjustRightInd w:val="0"/>
        <w:snapToGrid w:val="0"/>
        <w:spacing w:line="600" w:lineRule="atLeas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2.突出关键核心技术创新研发。</w:t>
      </w:r>
      <w:r>
        <w:rPr>
          <w:rFonts w:hint="eastAsia" w:ascii="仿宋_GB2312" w:hAnsi="Times New Roman" w:eastAsia="仿宋_GB2312"/>
          <w:sz w:val="32"/>
          <w:szCs w:val="32"/>
        </w:rPr>
        <w:t>围绕数字经济、先进制造、新能源车、新材料、节能环保、安全生产保障等领域，重点支持行业龙头骨干企业联合高校、科研院所开展重大关键核心技术研发，瞄准产业高端环节和关键节点，提升产业整体发展实力，促进和支撑产业向高端攀升。支持节能减排、军民融合、文化科技创新等共性技术研发，持续推进科技兴安、科技强安，提高产业整体竞争力。</w:t>
      </w:r>
    </w:p>
    <w:p>
      <w:pPr>
        <w:adjustRightInd w:val="0"/>
        <w:snapToGrid w:val="0"/>
        <w:spacing w:line="600" w:lineRule="atLeas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3.突出数字经济发展。</w:t>
      </w:r>
      <w:r>
        <w:rPr>
          <w:rFonts w:hint="eastAsia" w:ascii="仿宋_GB2312" w:hAnsi="Times New Roman" w:eastAsia="仿宋_GB2312"/>
          <w:sz w:val="32"/>
          <w:szCs w:val="32"/>
        </w:rPr>
        <w:t>根据数字经济和数字化发展行动计划，加快数字经济领域核心技术、共性关键技术的研发及交叉学科的集成创新。重点推动以第三代半导体、新型显示、移动互联网、5G、云计算、大数据、区块链、虚拟现实等为主的关键核心技术突破。鼓励企业持续加大研发投入，提升自主创新研发水平，努力在基础理论与核心技术原始创新上带头突破、重点提升、抢占技术发展制高点，促进相关核心技术在工业互联网、物联网、车联网等场景中的示范与应用，加速应用场景落地。</w:t>
      </w:r>
    </w:p>
    <w:p>
      <w:pPr>
        <w:adjustRightInd w:val="0"/>
        <w:snapToGrid w:val="0"/>
        <w:spacing w:line="600" w:lineRule="atLeas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4.突出高新区特色化发展。</w:t>
      </w:r>
      <w:r>
        <w:rPr>
          <w:rFonts w:hint="eastAsia" w:ascii="仿宋_GB2312" w:hAnsi="Times New Roman" w:eastAsia="仿宋_GB2312"/>
          <w:sz w:val="32"/>
          <w:szCs w:val="32"/>
        </w:rPr>
        <w:t>重点聚焦苏南国家自主创新示范区核心区的创新需要，引导省级及以上高新区发挥优势，聚焦各自重点发展的1～2个先导产业或特色产业，加强产业关键核心技术研发和成果转化，力争获取一批引领产业发展的关键核心技术，推动战略性新兴产业培育，打造创新型产业集群，集聚产业创新创业人才，引领和支撑高新园区产业创新发展。</w:t>
      </w:r>
    </w:p>
    <w:p>
      <w:pPr>
        <w:adjustRightInd w:val="0"/>
        <w:snapToGrid w:val="0"/>
        <w:spacing w:line="600" w:lineRule="atLeast"/>
        <w:ind w:firstLine="640" w:firstLineChars="200"/>
        <w:rPr>
          <w:rFonts w:ascii="黑体" w:hAnsi="黑体" w:eastAsia="黑体"/>
          <w:sz w:val="32"/>
          <w:szCs w:val="32"/>
        </w:rPr>
      </w:pPr>
      <w:r>
        <w:rPr>
          <w:rFonts w:hint="eastAsia" w:ascii="黑体" w:hAnsi="黑体" w:eastAsia="黑体"/>
          <w:sz w:val="32"/>
          <w:szCs w:val="32"/>
        </w:rPr>
        <w:t>二、组织方式</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本年度市重点产业技术创新项目按照“前瞻性应用基础研究项目”和“关键核心技术研发项目”两类组织实施。</w:t>
      </w:r>
    </w:p>
    <w:p>
      <w:pPr>
        <w:adjustRightInd w:val="0"/>
        <w:snapToGrid w:val="0"/>
        <w:spacing w:line="600" w:lineRule="atLeas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1.前瞻性应用基础研究项目。</w:t>
      </w:r>
      <w:r>
        <w:rPr>
          <w:rFonts w:hint="eastAsia" w:ascii="仿宋_GB2312" w:hAnsi="Times New Roman" w:eastAsia="仿宋_GB2312"/>
          <w:sz w:val="32"/>
          <w:szCs w:val="32"/>
        </w:rPr>
        <w:t>围绕项目指南支持方向，按照竞争择优的原则，支持高校、科研院所开展产业前瞻性技术应用基础研究，分青年人才项目和面上项目两类，单个项目资助经费不超过10万元，立项时下达。由各区科技主管部门、市级计划直属单位组织高校、科研院所申报（不含基础研究试点单位）。前瞻性应用基础研究项目实行限额申报，苏州大学限报20项；苏州科技大学限报15项；苏州职业大学、西交利物浦大学、常熟理工学院限报8项；其他符合条件的单位限报4项。鼓励高校、科研院所的青年人才积极承担前瞻性应用基础研究项目，各单位推荐的青年人才项目占限额数的70%以上。前瞻性应用基础研究项目实施经费使用“包干制”，项目申请和获批签署项目合同时只编报项目经费预算总额，无需编制项目支出预算科目（详见附件三）。</w:t>
      </w:r>
    </w:p>
    <w:p>
      <w:pPr>
        <w:adjustRightInd w:val="0"/>
        <w:snapToGrid w:val="0"/>
        <w:spacing w:line="600" w:lineRule="atLeast"/>
        <w:ind w:firstLine="643" w:firstLineChars="200"/>
        <w:rPr>
          <w:rFonts w:ascii="Times New Roman" w:hAnsi="Times New Roman" w:eastAsia="仿宋_GB2312"/>
          <w:sz w:val="32"/>
          <w:szCs w:val="32"/>
        </w:rPr>
      </w:pPr>
      <w:r>
        <w:rPr>
          <w:rFonts w:hint="eastAsia" w:ascii="仿宋_GB2312" w:hAnsi="Times New Roman" w:eastAsia="仿宋_GB2312"/>
          <w:b/>
          <w:sz w:val="32"/>
          <w:szCs w:val="32"/>
        </w:rPr>
        <w:t>2.关键核心技术研发项目。</w:t>
      </w:r>
      <w:r>
        <w:rPr>
          <w:rFonts w:hint="eastAsia" w:ascii="仿宋_GB2312" w:hAnsi="Times New Roman" w:eastAsia="仿宋_GB2312"/>
          <w:sz w:val="32"/>
          <w:szCs w:val="32"/>
        </w:rPr>
        <w:t>围绕项目指南支持方向，按照竞争择优的原则，支持企业开展关键核心技术研发。为助推数字经济产业创新发展，新设立数字创新专项。各地科技主管部门组织有效期内高新技术企业、高新技术企业培育库在库企业、国家科技型中小企业进行申报。其中，四县市仅限省级以上高新区辖区内企业申报。本年度关键核心技术研发项目采取限额择优推荐的方式，常熟高新区、常熟虞山高新区合计限额推荐15项，昆山高新区限额推荐14项，张家港高新区、太仓高新区分别限额推荐7项。吴江区、吴中区分别限额推荐60项、相城区、姑苏区、工业园区、高新区分别限额推荐50项、8项、110项和80项。根据年度科技创新专项资金额度，单个项目资助经费不超过100万元，市拨款</w:t>
      </w:r>
      <w:r>
        <w:rPr>
          <w:rFonts w:ascii="仿宋_GB2312" w:hAnsi="Times New Roman" w:eastAsia="仿宋_GB2312"/>
          <w:sz w:val="32"/>
          <w:szCs w:val="32"/>
        </w:rPr>
        <w:t>50</w:t>
      </w:r>
      <w:r>
        <w:rPr>
          <w:rFonts w:hint="eastAsia" w:ascii="仿宋_GB2312" w:hAnsi="Times New Roman" w:eastAsia="仿宋_GB2312"/>
          <w:sz w:val="32"/>
          <w:szCs w:val="32"/>
        </w:rPr>
        <w:t>万元（不含）以上的项目采用立项时下达5</w:t>
      </w:r>
      <w:r>
        <w:rPr>
          <w:rFonts w:ascii="仿宋_GB2312" w:hAnsi="Times New Roman" w:eastAsia="仿宋_GB2312"/>
          <w:sz w:val="32"/>
          <w:szCs w:val="32"/>
        </w:rPr>
        <w:t>0%</w:t>
      </w:r>
      <w:r>
        <w:rPr>
          <w:rFonts w:hint="eastAsia" w:ascii="仿宋_GB2312" w:hAnsi="Times New Roman" w:eastAsia="仿宋_GB2312"/>
          <w:sz w:val="32"/>
          <w:szCs w:val="32"/>
        </w:rPr>
        <w:t>以上（含），</w:t>
      </w:r>
      <w:r>
        <w:rPr>
          <w:rFonts w:hint="eastAsia" w:ascii="Times New Roman" w:hAnsi="Times New Roman" w:eastAsia="仿宋_GB2312"/>
          <w:sz w:val="32"/>
          <w:szCs w:val="32"/>
        </w:rPr>
        <w:t>中期检查后下达剩余部分的方式支持。</w:t>
      </w:r>
    </w:p>
    <w:p>
      <w:pPr>
        <w:adjustRightInd w:val="0"/>
        <w:snapToGrid w:val="0"/>
        <w:spacing w:line="600" w:lineRule="atLeast"/>
        <w:ind w:firstLine="640" w:firstLineChars="200"/>
        <w:rPr>
          <w:rFonts w:hint="eastAsia" w:ascii="黑体" w:hAnsi="黑体" w:eastAsia="黑体"/>
          <w:sz w:val="32"/>
          <w:szCs w:val="32"/>
        </w:rPr>
      </w:pPr>
    </w:p>
    <w:p>
      <w:pPr>
        <w:adjustRightInd w:val="0"/>
        <w:snapToGrid w:val="0"/>
        <w:spacing w:line="600" w:lineRule="atLeast"/>
        <w:ind w:firstLine="640" w:firstLineChars="200"/>
        <w:rPr>
          <w:rFonts w:ascii="黑体" w:hAnsi="黑体" w:eastAsia="黑体"/>
          <w:sz w:val="32"/>
          <w:szCs w:val="32"/>
        </w:rPr>
      </w:pPr>
      <w:r>
        <w:rPr>
          <w:rFonts w:hint="eastAsia" w:ascii="黑体" w:hAnsi="黑体" w:eastAsia="黑体"/>
          <w:sz w:val="32"/>
          <w:szCs w:val="32"/>
        </w:rPr>
        <w:t>三、申报条件</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1.项目符合本计划定位要求，属于项目指南支持领域和方向。项目具有明确的研发内容和较强的前瞻性，能推动相关新兴产业实现技术突破。项目实施周期不超过三年。</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前瞻性应用基础研究项目内容应具有前沿性、前瞻性，目标明确并可考核，能形成自主知识产权，并具有良好的产业化应用前景，必须有明确的应用企业，且企业实质参与项目研发工作。其中青年人才项目负责人年龄不超过38周岁[1983年1月1日（含）以后出生]。</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3.关键核心技术研发项目应有明确的研发任务、创新内容和目标产品，项目成果具有自主知识产权和可预见的产业化应用前景。项目完成时，一般须形成发明专利申请或授权等高质量知识产权目标，电子信息、先进制造等领域项目须完成样品、样机或系统，新材料、新能源等领域项目须完成小试，销售收入等经济指标不做硬性要求。</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4.申报单位具体按照项目组织方式中明确的申报主体进行申报。项目申报单位法人应出具信用承诺，对项目申报材料及附件证明材料的真实性、完整性、有效性负责。承担苏州市姑苏创新创业领军人才计划和重点产业技术创新在研项目的企业不得申报本计划项目。同一企业限报一个重点产业技术创新项目。同一企业不得将内容相同或相近的研发项目同时申报本年度姑苏人才项目和重点产业技术创新项目。项目主管部门要切实履行项目审核责任，做好项目的组织推荐。项目经费预算及使用须符合专项资金管理的相关规定，企业承担项目申请市拨经费不超过项目总额的30%。</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5.对不符合节能减排导向的项目、规模化量产与产业化项目、无实质创新研究内容项目和一般性技术应用与推广项目均不予受理。涉及人类遗传资源采集、收集、买卖、出口、出境的需遵照《中华人民共和国人类遗传资源管理条例》的相关规定执行。涉及实验动物和动物实验的，需遵守国家实验动物管理的法律、法规、技术标准及有关规定。涉及人的伦理审查工作的，需按照相关规定执行。涉及安全生产等特种行业的，需拥有相关行业准入资格或许可。</w:t>
      </w:r>
    </w:p>
    <w:p>
      <w:pPr>
        <w:adjustRightInd w:val="0"/>
        <w:snapToGrid w:val="0"/>
        <w:spacing w:line="600" w:lineRule="atLeast"/>
        <w:ind w:firstLine="640" w:firstLineChars="200"/>
        <w:rPr>
          <w:rFonts w:ascii="黑体" w:hAnsi="黑体" w:eastAsia="黑体"/>
          <w:sz w:val="32"/>
          <w:szCs w:val="32"/>
        </w:rPr>
      </w:pPr>
      <w:r>
        <w:rPr>
          <w:rFonts w:hint="eastAsia" w:ascii="黑体" w:hAnsi="黑体" w:eastAsia="黑体"/>
          <w:sz w:val="32"/>
          <w:szCs w:val="32"/>
        </w:rPr>
        <w:t>四、有关要求</w:t>
      </w:r>
    </w:p>
    <w:p>
      <w:pPr>
        <w:adjustRightInd w:val="0"/>
        <w:snapToGrid w:val="0"/>
        <w:spacing w:line="600" w:lineRule="atLeast"/>
        <w:ind w:firstLine="640" w:firstLineChars="200"/>
        <w:rPr>
          <w:rFonts w:ascii="仿宋_GB2312" w:eastAsia="仿宋_GB2312"/>
          <w:snapToGrid w:val="0"/>
          <w:kern w:val="0"/>
          <w:sz w:val="32"/>
          <w:szCs w:val="32"/>
        </w:rPr>
      </w:pPr>
      <w:r>
        <w:rPr>
          <w:rFonts w:hint="eastAsia" w:ascii="仿宋_GB2312" w:hAnsi="Times New Roman" w:eastAsia="仿宋_GB2312"/>
          <w:sz w:val="32"/>
          <w:szCs w:val="32"/>
        </w:rPr>
        <w:t>1.项目申报单位</w:t>
      </w:r>
      <w:r>
        <w:rPr>
          <w:rFonts w:hint="eastAsia" w:ascii="仿宋_GB2312" w:eastAsia="仿宋_GB2312"/>
          <w:snapToGrid w:val="0"/>
          <w:kern w:val="0"/>
          <w:sz w:val="32"/>
          <w:szCs w:val="32"/>
        </w:rPr>
        <w:t>可登录苏州市科技局网站（http://kjj.suzhou.gov.cn）点击“苏州科技计划项目管理系统”或登录“苏州市财政专项资金申报平台”（http://www.szzxzjsb.com），点击“苏州市科技局”图标</w:t>
      </w:r>
      <w:r>
        <w:rPr>
          <w:rFonts w:hint="eastAsia" w:ascii="仿宋_GB2312" w:hAnsi="Times New Roman" w:eastAsia="仿宋_GB2312"/>
          <w:sz w:val="32"/>
          <w:szCs w:val="32"/>
        </w:rPr>
        <w:t>进行项目申报。在线填写项目信息表，并上传申报书及相关佐证材料。申报项目经由单位管理员、主管部门向市科技局逐级推荐。同时报送纸质申报材料一式一份，统一用A4纸打印，按封面、项目信息表（系统下载后打印）、承诺书、项目申报书、附件材料等顺序装订成册，采用简装装订。</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2.项目名称须科学规范，能够体现攻关的技术创新点或解决的关键核心问题，不出现企业名称、产品型号等信息，用“XXX研发”作为后缀，字数不宜过长，一般在25字以内。</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3.各项目主管部门要强化风险意识、责任意识，严格把关，认真对照申报材料原件进行审核。要认真履行管理职责，加强统筹协调，做好项目组织申报的指导和服务工作并将申报项目汇总表（附件2，电子版及纸质一式一份，加盖公章）报送高新处。</w:t>
      </w:r>
    </w:p>
    <w:p>
      <w:pPr>
        <w:adjustRightInd w:val="0"/>
        <w:snapToGrid w:val="0"/>
        <w:spacing w:line="600" w:lineRule="atLeast"/>
        <w:ind w:firstLine="640" w:firstLineChars="200"/>
        <w:rPr>
          <w:rFonts w:ascii="仿宋_GB2312" w:eastAsia="仿宋_GB2312"/>
          <w:snapToGrid w:val="0"/>
          <w:kern w:val="0"/>
          <w:sz w:val="32"/>
          <w:szCs w:val="32"/>
        </w:rPr>
      </w:pPr>
      <w:r>
        <w:rPr>
          <w:rFonts w:hint="eastAsia" w:ascii="仿宋_GB2312" w:hAnsi="Times New Roman" w:eastAsia="仿宋_GB2312"/>
          <w:sz w:val="32"/>
          <w:szCs w:val="32"/>
        </w:rPr>
        <w:t>4.</w:t>
      </w:r>
      <w:r>
        <w:rPr>
          <w:rFonts w:hint="eastAsia" w:ascii="仿宋_GB2312" w:eastAsia="仿宋_GB2312"/>
          <w:sz w:val="32"/>
          <w:szCs w:val="32"/>
        </w:rPr>
        <w:t>项目网络申报截止时间为</w:t>
      </w:r>
      <w:r>
        <w:rPr>
          <w:rFonts w:hint="eastAsia" w:ascii="仿宋_GB2312" w:hAnsi="Times New Roman" w:eastAsia="仿宋_GB2312"/>
          <w:kern w:val="0"/>
          <w:sz w:val="32"/>
          <w:szCs w:val="32"/>
        </w:rPr>
        <w:t>8</w:t>
      </w:r>
      <w:r>
        <w:rPr>
          <w:rFonts w:hint="eastAsia" w:ascii="仿宋_GB2312" w:eastAsia="仿宋_GB2312"/>
          <w:kern w:val="0"/>
          <w:sz w:val="32"/>
          <w:szCs w:val="32"/>
        </w:rPr>
        <w:t>月</w:t>
      </w:r>
      <w:r>
        <w:rPr>
          <w:rFonts w:hint="eastAsia" w:ascii="仿宋_GB2312" w:hAnsi="Times New Roman" w:eastAsia="仿宋_GB2312"/>
          <w:kern w:val="0"/>
          <w:sz w:val="32"/>
          <w:szCs w:val="32"/>
        </w:rPr>
        <w:t>6</w:t>
      </w:r>
      <w:r>
        <w:rPr>
          <w:rFonts w:hint="eastAsia" w:ascii="仿宋_GB2312" w:eastAsia="仿宋_GB2312"/>
          <w:kern w:val="0"/>
          <w:sz w:val="32"/>
          <w:szCs w:val="32"/>
        </w:rPr>
        <w:t>日</w:t>
      </w:r>
      <w:r>
        <w:rPr>
          <w:rFonts w:hint="eastAsia" w:ascii="仿宋_GB2312" w:hAnsi="Times New Roman" w:eastAsia="仿宋_GB2312"/>
          <w:kern w:val="0"/>
          <w:sz w:val="32"/>
          <w:szCs w:val="32"/>
        </w:rPr>
        <w:t>17:00</w:t>
      </w:r>
      <w:r>
        <w:rPr>
          <w:rFonts w:hint="eastAsia" w:ascii="仿宋_GB2312" w:eastAsia="仿宋_GB2312"/>
          <w:sz w:val="32"/>
          <w:szCs w:val="32"/>
        </w:rPr>
        <w:t>。</w:t>
      </w:r>
      <w:r>
        <w:rPr>
          <w:rFonts w:hint="eastAsia" w:ascii="仿宋_GB2312" w:eastAsia="仿宋_GB2312"/>
          <w:snapToGrid w:val="0"/>
          <w:kern w:val="0"/>
          <w:sz w:val="32"/>
          <w:szCs w:val="32"/>
        </w:rPr>
        <w:t>纸质材料申报单位自留一份，另交一份至项目主管部门留存备查。</w:t>
      </w:r>
    </w:p>
    <w:p>
      <w:pPr>
        <w:adjustRightInd w:val="0"/>
        <w:snapToGrid w:val="0"/>
        <w:spacing w:line="600" w:lineRule="atLeast"/>
        <w:ind w:firstLine="640" w:firstLineChars="200"/>
        <w:rPr>
          <w:rFonts w:ascii="黑体" w:hAnsi="黑体" w:eastAsia="黑体"/>
          <w:sz w:val="32"/>
          <w:szCs w:val="32"/>
        </w:rPr>
      </w:pPr>
      <w:r>
        <w:rPr>
          <w:rFonts w:hint="eastAsia" w:ascii="黑体" w:hAnsi="黑体" w:eastAsia="黑体"/>
          <w:sz w:val="32"/>
          <w:szCs w:val="32"/>
        </w:rPr>
        <w:t>五、联系方式</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业务咨询：</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苏州市科技局高新处  蒋宇航  65227947</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系统技术支持：</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市科技服务中心信息科  张弘驰、姜素芳  65236208</w:t>
      </w:r>
    </w:p>
    <w:p>
      <w:pPr>
        <w:adjustRightInd w:val="0"/>
        <w:snapToGrid w:val="0"/>
        <w:spacing w:line="600" w:lineRule="atLeast"/>
        <w:ind w:firstLine="640" w:firstLineChars="200"/>
        <w:rPr>
          <w:rFonts w:ascii="仿宋_GB2312" w:hAnsi="Times New Roman" w:eastAsia="仿宋_GB2312"/>
          <w:sz w:val="32"/>
          <w:szCs w:val="32"/>
        </w:rPr>
      </w:pP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附件：</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1.2021年度苏州市重点产业技术创新项目指南</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2.20</w:t>
      </w:r>
      <w:r>
        <w:rPr>
          <w:rFonts w:ascii="仿宋_GB2312" w:hAnsi="Times New Roman" w:eastAsia="仿宋_GB2312"/>
          <w:sz w:val="32"/>
          <w:szCs w:val="32"/>
        </w:rPr>
        <w:t>21</w:t>
      </w:r>
      <w:r>
        <w:rPr>
          <w:rFonts w:hint="eastAsia" w:ascii="仿宋_GB2312" w:hAnsi="Times New Roman" w:eastAsia="仿宋_GB2312"/>
          <w:sz w:val="32"/>
          <w:szCs w:val="32"/>
        </w:rPr>
        <w:t>年度苏州市重点产业技术创新项目推荐汇总表</w:t>
      </w:r>
    </w:p>
    <w:p>
      <w:pPr>
        <w:adjustRightInd w:val="0"/>
        <w:snapToGrid w:val="0"/>
        <w:spacing w:line="600" w:lineRule="atLeast"/>
        <w:ind w:right="640" w:firstLine="640" w:firstLineChars="200"/>
        <w:jc w:val="right"/>
        <w:rPr>
          <w:rFonts w:ascii="仿宋_GB2312" w:hAnsi="Times New Roman" w:eastAsia="仿宋_GB2312"/>
          <w:sz w:val="32"/>
          <w:szCs w:val="32"/>
        </w:rPr>
      </w:pPr>
    </w:p>
    <w:p>
      <w:pPr>
        <w:adjustRightInd w:val="0"/>
        <w:snapToGrid w:val="0"/>
        <w:spacing w:line="600" w:lineRule="atLeast"/>
        <w:ind w:firstLine="640" w:firstLineChars="200"/>
        <w:jc w:val="right"/>
        <w:rPr>
          <w:rFonts w:ascii="仿宋_GB2312" w:hAnsi="Times New Roman" w:eastAsia="仿宋_GB2312"/>
          <w:sz w:val="32"/>
          <w:szCs w:val="32"/>
        </w:rPr>
      </w:pPr>
      <w:r>
        <w:rPr>
          <w:rFonts w:hint="eastAsia" w:ascii="仿宋_GB2312" w:hAnsi="Times New Roman" w:eastAsia="仿宋_GB2312"/>
          <w:sz w:val="32"/>
          <w:szCs w:val="32"/>
        </w:rPr>
        <w:t>苏州市科学技术局</w:t>
      </w:r>
    </w:p>
    <w:p>
      <w:pPr>
        <w:adjustRightInd w:val="0"/>
        <w:snapToGrid w:val="0"/>
        <w:spacing w:line="600" w:lineRule="atLeast"/>
        <w:ind w:firstLine="640" w:firstLineChars="200"/>
        <w:jc w:val="right"/>
        <w:rPr>
          <w:rFonts w:ascii="仿宋_GB2312" w:hAnsi="Times New Roman" w:eastAsia="仿宋_GB2312"/>
          <w:sz w:val="32"/>
          <w:szCs w:val="32"/>
        </w:rPr>
      </w:pPr>
      <w:r>
        <w:rPr>
          <w:rFonts w:hint="eastAsia" w:ascii="仿宋_GB2312" w:hAnsi="Times New Roman" w:eastAsia="仿宋_GB2312"/>
          <w:sz w:val="32"/>
          <w:szCs w:val="32"/>
        </w:rPr>
        <w:t>2021年6月8日</w:t>
      </w:r>
    </w:p>
    <w:p>
      <w:pPr>
        <w:adjustRightInd w:val="0"/>
        <w:snapToGrid w:val="0"/>
        <w:spacing w:after="240" w:afterLines="100" w:line="240" w:lineRule="atLeast"/>
        <w:jc w:val="left"/>
        <w:rPr>
          <w:rFonts w:ascii="仿宋_GB2312" w:hAnsi="Times New Roman" w:eastAsia="仿宋_GB2312"/>
          <w:sz w:val="32"/>
          <w:szCs w:val="32"/>
        </w:rPr>
      </w:pPr>
    </w:p>
    <w:p>
      <w:pPr>
        <w:adjustRightInd w:val="0"/>
        <w:snapToGrid w:val="0"/>
        <w:spacing w:after="240" w:afterLines="100" w:line="240" w:lineRule="atLeast"/>
        <w:jc w:val="left"/>
        <w:rPr>
          <w:rFonts w:hint="eastAsia" w:ascii="仿宋_GB2312" w:hAnsi="Times New Roman" w:eastAsia="仿宋_GB2312"/>
          <w:sz w:val="32"/>
          <w:szCs w:val="32"/>
        </w:rPr>
      </w:pPr>
    </w:p>
    <w:p>
      <w:pPr>
        <w:adjustRightInd w:val="0"/>
        <w:snapToGrid w:val="0"/>
        <w:spacing w:after="240" w:afterLines="100" w:line="240" w:lineRule="atLeast"/>
        <w:jc w:val="left"/>
        <w:rPr>
          <w:rFonts w:hint="eastAsia" w:ascii="仿宋_GB2312" w:hAnsi="Times New Roman" w:eastAsia="仿宋_GB2312"/>
          <w:sz w:val="32"/>
          <w:szCs w:val="32"/>
        </w:rPr>
      </w:pPr>
    </w:p>
    <w:p>
      <w:pPr>
        <w:adjustRightInd w:val="0"/>
        <w:snapToGrid w:val="0"/>
        <w:spacing w:after="240" w:afterLines="100" w:line="240" w:lineRule="atLeast"/>
        <w:jc w:val="left"/>
        <w:rPr>
          <w:rFonts w:hint="eastAsia" w:ascii="仿宋_GB2312" w:hAnsi="Times New Roman" w:eastAsia="仿宋_GB2312"/>
          <w:sz w:val="32"/>
          <w:szCs w:val="32"/>
        </w:rPr>
      </w:pPr>
    </w:p>
    <w:p>
      <w:pPr>
        <w:adjustRightInd w:val="0"/>
        <w:snapToGrid w:val="0"/>
        <w:spacing w:after="240" w:afterLines="100" w:line="240" w:lineRule="atLeast"/>
        <w:jc w:val="left"/>
        <w:rPr>
          <w:rFonts w:hint="eastAsia" w:ascii="仿宋_GB2312" w:hAnsi="Times New Roman" w:eastAsia="仿宋_GB2312"/>
          <w:sz w:val="32"/>
          <w:szCs w:val="32"/>
        </w:rPr>
      </w:pPr>
    </w:p>
    <w:p>
      <w:pPr>
        <w:adjustRightInd w:val="0"/>
        <w:snapToGrid w:val="0"/>
        <w:spacing w:after="240" w:afterLines="100" w:line="240" w:lineRule="atLeast"/>
        <w:jc w:val="left"/>
        <w:rPr>
          <w:rFonts w:ascii="黑体" w:hAnsi="黑体" w:eastAsia="黑体"/>
          <w:sz w:val="32"/>
          <w:szCs w:val="32"/>
        </w:rPr>
      </w:pPr>
      <w:r>
        <w:rPr>
          <w:rFonts w:hint="eastAsia" w:ascii="黑体" w:hAnsi="黑体" w:eastAsia="黑体"/>
          <w:sz w:val="32"/>
          <w:szCs w:val="32"/>
        </w:rPr>
        <w:t>附件1</w:t>
      </w:r>
    </w:p>
    <w:p>
      <w:pPr>
        <w:adjustRightInd w:val="0"/>
        <w:snapToGrid w:val="0"/>
        <w:spacing w:line="240" w:lineRule="atLeast"/>
        <w:jc w:val="center"/>
        <w:rPr>
          <w:rFonts w:ascii="方正小标宋_GBK" w:hAnsi="宋体" w:eastAsia="方正小标宋_GBK"/>
          <w:sz w:val="44"/>
          <w:szCs w:val="44"/>
        </w:rPr>
      </w:pPr>
      <w:r>
        <w:rPr>
          <w:rFonts w:ascii="方正小标宋_GBK" w:hAnsi="宋体" w:eastAsia="方正小标宋_GBK"/>
          <w:sz w:val="44"/>
          <w:szCs w:val="44"/>
        </w:rPr>
        <w:t>20</w:t>
      </w:r>
      <w:r>
        <w:rPr>
          <w:rFonts w:hint="eastAsia" w:ascii="方正小标宋_GBK" w:hAnsi="宋体" w:eastAsia="方正小标宋_GBK"/>
          <w:sz w:val="44"/>
          <w:szCs w:val="44"/>
        </w:rPr>
        <w:t>21</w:t>
      </w:r>
      <w:r>
        <w:rPr>
          <w:rFonts w:ascii="方正小标宋_GBK" w:hAnsi="宋体" w:eastAsia="方正小标宋_GBK"/>
          <w:sz w:val="44"/>
          <w:szCs w:val="44"/>
        </w:rPr>
        <w:t>年苏州市重点产业技术创新项目指南</w:t>
      </w:r>
    </w:p>
    <w:p>
      <w:pPr>
        <w:adjustRightInd w:val="0"/>
        <w:snapToGrid w:val="0"/>
        <w:spacing w:line="600" w:lineRule="atLeast"/>
        <w:ind w:firstLine="640" w:firstLineChars="200"/>
        <w:rPr>
          <w:rFonts w:hint="eastAsia" w:ascii="黑体" w:hAnsi="黑体" w:eastAsia="黑体"/>
          <w:sz w:val="32"/>
          <w:szCs w:val="32"/>
        </w:rPr>
      </w:pPr>
    </w:p>
    <w:p>
      <w:pPr>
        <w:adjustRightInd w:val="0"/>
        <w:snapToGrid w:val="0"/>
        <w:spacing w:line="600" w:lineRule="atLeast"/>
        <w:ind w:firstLine="640" w:firstLineChars="200"/>
        <w:rPr>
          <w:rFonts w:ascii="黑体" w:hAnsi="黑体" w:eastAsia="黑体"/>
          <w:sz w:val="32"/>
          <w:szCs w:val="32"/>
        </w:rPr>
      </w:pPr>
      <w:r>
        <w:rPr>
          <w:rFonts w:hint="eastAsia" w:ascii="黑体" w:hAnsi="黑体" w:eastAsia="黑体"/>
          <w:sz w:val="32"/>
          <w:szCs w:val="32"/>
        </w:rPr>
        <w:t>一、前瞻性应用基础研究</w:t>
      </w:r>
    </w:p>
    <w:p>
      <w:pPr>
        <w:adjustRightInd w:val="0"/>
        <w:snapToGrid w:val="0"/>
        <w:spacing w:line="600" w:lineRule="atLeast"/>
        <w:ind w:firstLine="643" w:firstLineChars="200"/>
        <w:rPr>
          <w:rFonts w:hint="eastAsia" w:ascii="楷体_GB2312" w:hAnsi="Times New Roman" w:eastAsia="楷体_GB2312"/>
          <w:b/>
          <w:sz w:val="32"/>
          <w:szCs w:val="32"/>
        </w:rPr>
      </w:pPr>
      <w:r>
        <w:rPr>
          <w:rFonts w:hint="eastAsia" w:ascii="楷体_GB2312" w:hAnsi="Times New Roman" w:eastAsia="楷体_GB2312"/>
          <w:b/>
          <w:sz w:val="32"/>
          <w:szCs w:val="32"/>
        </w:rPr>
        <w:t>1．210001  纳米技术</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高品质石墨烯、碳纳米管、碳纳米纤维等先进碳材料制备及应用、纳米陶瓷等新型纳米功能材料制备及应用、微纳传感器和光电转换器等微纳器件制造及应用、微纳级表面测量及性能检测</w:t>
      </w:r>
    </w:p>
    <w:p>
      <w:pPr>
        <w:adjustRightInd w:val="0"/>
        <w:snapToGrid w:val="0"/>
        <w:spacing w:line="600" w:lineRule="atLeas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2．210002  第三代半导体</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氮化镓基电力电子器件及可靠性技术、第三代半导体衬底材料和厚膜同质外延、第三代半导体器件封装技术、第三代半导体照明技术研究及应用等相关技术</w:t>
      </w:r>
    </w:p>
    <w:p>
      <w:pPr>
        <w:adjustRightInd w:val="0"/>
        <w:snapToGrid w:val="0"/>
        <w:spacing w:line="600" w:lineRule="atLeas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3．210003  战略新材料</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4D打印、复合材料打印高性能成型材料，水处理膜、锂电池隔膜、光学膜等高性能膜材料，高性能合金、高性能纤维、高端硅基等新型结构材料，特种高分子、特种稀土等新型功能材料制备及应用</w:t>
      </w:r>
    </w:p>
    <w:p>
      <w:pPr>
        <w:adjustRightInd w:val="0"/>
        <w:snapToGrid w:val="0"/>
        <w:spacing w:line="600" w:lineRule="atLeas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4．210004  人工智能</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自适应感知、新型交互模态等智能基础理论与方法研究，图像处理与机器视觉，工业过程建模与智能控制，知识发现与机器学习，基于深度学习的核心算法，人流量及人体行为监测、智能可穿戴设备、车载智能设备、智能家居等可移动智能终端关键技术</w:t>
      </w:r>
    </w:p>
    <w:p>
      <w:pPr>
        <w:adjustRightInd w:val="0"/>
        <w:snapToGrid w:val="0"/>
        <w:spacing w:line="600" w:lineRule="atLeas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5．210005  未来网络</w:t>
      </w:r>
    </w:p>
    <w:p>
      <w:pPr>
        <w:adjustRightInd w:val="0"/>
        <w:snapToGrid w:val="0"/>
        <w:spacing w:line="60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网络空间信息安全、物联网等系统安全及保密，多网络协同组织、多模式无线网络等新型网络关键技术，新一代移动通信、区块链、无线光通信、量子通信技术，无人机通信组网、超高速和超宽带通信等技术及研究</w:t>
      </w:r>
    </w:p>
    <w:p>
      <w:pPr>
        <w:adjustRightInd w:val="0"/>
        <w:snapToGrid w:val="0"/>
        <w:spacing w:line="600" w:lineRule="atLeast"/>
        <w:ind w:firstLine="640" w:firstLineChars="200"/>
        <w:rPr>
          <w:rFonts w:ascii="黑体" w:hAnsi="黑体" w:eastAsia="黑体"/>
          <w:sz w:val="32"/>
          <w:szCs w:val="32"/>
        </w:rPr>
      </w:pPr>
      <w:r>
        <w:rPr>
          <w:rFonts w:hint="eastAsia" w:ascii="黑体" w:hAnsi="黑体" w:eastAsia="黑体"/>
          <w:sz w:val="32"/>
          <w:szCs w:val="32"/>
        </w:rPr>
        <w:t>二、关键核心技术研发</w:t>
      </w:r>
    </w:p>
    <w:p>
      <w:pPr>
        <w:adjustRightInd w:val="0"/>
        <w:snapToGrid w:val="0"/>
        <w:spacing w:line="600" w:lineRule="atLeas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（一）数字创新专项</w:t>
      </w:r>
    </w:p>
    <w:p>
      <w:pPr>
        <w:adjustRightInd w:val="0"/>
        <w:snapToGrid w:val="0"/>
        <w:spacing w:line="600" w:lineRule="atLeast"/>
        <w:ind w:firstLine="643" w:firstLineChars="200"/>
        <w:rPr>
          <w:rFonts w:hint="eastAsia" w:ascii="仿宋_GB2312" w:hAnsi="黑体" w:eastAsia="仿宋_GB2312"/>
          <w:b/>
          <w:sz w:val="32"/>
          <w:szCs w:val="32"/>
        </w:rPr>
      </w:pPr>
      <w:r>
        <w:rPr>
          <w:rFonts w:hint="eastAsia" w:ascii="仿宋_GB2312" w:hAnsi="黑体" w:eastAsia="仿宋_GB2312"/>
          <w:b/>
          <w:sz w:val="32"/>
          <w:szCs w:val="32"/>
        </w:rPr>
        <w:t>1.电子信息与材料</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210101</w:t>
      </w:r>
      <w:r>
        <w:rPr>
          <w:rFonts w:hint="eastAsia" w:ascii="仿宋_GB2312" w:hAnsi="Times New Roman" w:eastAsia="仿宋_GB2312"/>
          <w:sz w:val="32"/>
          <w:szCs w:val="32"/>
        </w:rPr>
        <w:t xml:space="preserve">  3D显示、柔性显示、激光显示、Micro-LED显示、硅基OLED等新型显示技术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210102</w:t>
      </w:r>
      <w:r>
        <w:rPr>
          <w:rFonts w:hint="eastAsia" w:ascii="仿宋_GB2312" w:hAnsi="Times New Roman" w:eastAsia="仿宋_GB2312"/>
          <w:sz w:val="32"/>
          <w:szCs w:val="32"/>
        </w:rPr>
        <w:t xml:space="preserve">  基于RISC-V等开源架构CPU及第三方IP研发集成、高效能计算芯片、高效能计算芯片和新型存储器芯片、极低功耗SoC芯片、光子芯片、5G通信用射频芯片、高性能显示芯片、高性能模拟芯片等高端芯片设计技术和智能化电子设计自动化（EDA）的平台设计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210103</w:t>
      </w:r>
      <w:r>
        <w:rPr>
          <w:rFonts w:hint="eastAsia" w:ascii="仿宋_GB2312" w:hAnsi="Times New Roman" w:eastAsia="仿宋_GB2312"/>
          <w:sz w:val="32"/>
          <w:szCs w:val="32"/>
        </w:rPr>
        <w:t xml:space="preserve">  新一代功率半导体器件及模块、高压功率集成电路、高端传感器、微机电系统（MEMS）、大功率LED器件等先进制备工艺及装备制造技术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210104</w:t>
      </w:r>
      <w:r>
        <w:rPr>
          <w:rFonts w:ascii="仿宋_GB2312" w:hAnsi="Times New Roman" w:eastAsia="仿宋_GB2312"/>
          <w:sz w:val="32"/>
          <w:szCs w:val="32"/>
        </w:rPr>
        <w:t xml:space="preserve"> </w:t>
      </w:r>
      <w:r>
        <w:rPr>
          <w:rFonts w:hint="eastAsia" w:ascii="仿宋_GB2312" w:hAnsi="Times New Roman" w:eastAsia="仿宋_GB2312"/>
          <w:sz w:val="32"/>
          <w:szCs w:val="32"/>
        </w:rPr>
        <w:t xml:space="preserve"> 自主可控操作系统和办公软件、工业软件、嵌入式软件等高端软件及硬件关键技术，增材制造大数据智能化设计制造软件系统</w:t>
      </w:r>
      <w:r>
        <w:rPr>
          <w:rFonts w:ascii="仿宋_GB2312" w:hAnsi="Times New Roman" w:eastAsia="仿宋_GB2312"/>
          <w:sz w:val="32"/>
          <w:szCs w:val="32"/>
        </w:rPr>
        <w:t xml:space="preserve"> </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210105</w:t>
      </w:r>
      <w:r>
        <w:rPr>
          <w:rFonts w:hint="eastAsia" w:ascii="仿宋_GB2312" w:hAnsi="Times New Roman" w:eastAsia="仿宋_GB2312"/>
          <w:sz w:val="32"/>
          <w:szCs w:val="32"/>
        </w:rPr>
        <w:t xml:space="preserve">  高端光电子材料、柔性显示薄膜材料、半导体激光器材料等先进显示材料制备与应用技术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210106</w:t>
      </w:r>
      <w:r>
        <w:rPr>
          <w:rFonts w:hint="eastAsia" w:ascii="仿宋_GB2312" w:hAnsi="Times New Roman" w:eastAsia="仿宋_GB2312"/>
          <w:sz w:val="32"/>
          <w:szCs w:val="32"/>
        </w:rPr>
        <w:t xml:space="preserve">  氮化镓、碳化硅、氮化铝、氧化镓等第三代半导体材料、半导体光掩膜基板、器件制备与应用关键技术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210107</w:t>
      </w:r>
      <w:r>
        <w:rPr>
          <w:rFonts w:hint="eastAsia" w:ascii="仿宋_GB2312" w:hAnsi="Times New Roman" w:eastAsia="仿宋_GB2312"/>
          <w:b/>
          <w:sz w:val="32"/>
          <w:szCs w:val="32"/>
        </w:rPr>
        <w:t xml:space="preserve"> </w:t>
      </w:r>
      <w:r>
        <w:rPr>
          <w:rFonts w:hint="eastAsia" w:ascii="仿宋_GB2312" w:hAnsi="Times New Roman" w:eastAsia="仿宋_GB2312"/>
          <w:sz w:val="32"/>
          <w:szCs w:val="32"/>
        </w:rPr>
        <w:t xml:space="preserve"> 大尺寸低缺陷高纯度单晶硅片、高功率密度封装及散热材料、高纯度化学试剂、高端光刻胶、抛光液、溅射靶材等关键材料制备技术</w:t>
      </w:r>
    </w:p>
    <w:p>
      <w:pPr>
        <w:adjustRightInd w:val="0"/>
        <w:snapToGrid w:val="0"/>
        <w:spacing w:line="600" w:lineRule="atLeast"/>
        <w:ind w:firstLine="643" w:firstLineChars="200"/>
        <w:rPr>
          <w:rFonts w:ascii="仿宋_GB2312" w:hAnsi="黑体" w:eastAsia="仿宋_GB2312"/>
          <w:b/>
          <w:sz w:val="32"/>
          <w:szCs w:val="32"/>
        </w:rPr>
      </w:pPr>
      <w:r>
        <w:rPr>
          <w:rFonts w:ascii="仿宋_GB2312" w:hAnsi="黑体" w:eastAsia="仿宋_GB2312"/>
          <w:b/>
          <w:sz w:val="32"/>
          <w:szCs w:val="32"/>
        </w:rPr>
        <w:t>2.</w:t>
      </w:r>
      <w:r>
        <w:rPr>
          <w:rFonts w:hint="eastAsia" w:ascii="仿宋_GB2312" w:hAnsi="黑体" w:eastAsia="仿宋_GB2312"/>
          <w:b/>
          <w:sz w:val="32"/>
          <w:szCs w:val="32"/>
        </w:rPr>
        <w:t>人工智能和智能网联</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210201</w:t>
      </w:r>
      <w:r>
        <w:rPr>
          <w:rFonts w:hint="eastAsia" w:ascii="仿宋_GB2312" w:hAnsi="Times New Roman" w:eastAsia="仿宋_GB2312"/>
          <w:sz w:val="32"/>
          <w:szCs w:val="32"/>
        </w:rPr>
        <w:t xml:space="preserve">  虚拟现实（VR）、增强现实（AR）、混合现实（MR）、系统仿真、智能认知、人机交互等人工智能关键技术及装备</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210202</w:t>
      </w:r>
      <w:r>
        <w:rPr>
          <w:rFonts w:hint="eastAsia" w:ascii="仿宋_GB2312" w:hAnsi="Times New Roman" w:eastAsia="仿宋_GB2312"/>
          <w:sz w:val="32"/>
          <w:szCs w:val="32"/>
        </w:rPr>
        <w:t xml:space="preserve">  自动驾驶、智能网联车路协同、智慧座舱、环境感知、能源管理等智能化控制关键技术及车规级芯片与云控系统平台</w:t>
      </w:r>
    </w:p>
    <w:p>
      <w:pPr>
        <w:adjustRightInd w:val="0"/>
        <w:snapToGrid w:val="0"/>
        <w:spacing w:line="600" w:lineRule="atLeast"/>
        <w:ind w:firstLine="643" w:firstLineChars="200"/>
        <w:rPr>
          <w:rFonts w:ascii="仿宋_GB2312" w:hAnsi="黑体" w:eastAsia="仿宋_GB2312"/>
          <w:b/>
          <w:sz w:val="32"/>
          <w:szCs w:val="32"/>
        </w:rPr>
      </w:pPr>
      <w:r>
        <w:rPr>
          <w:rFonts w:ascii="仿宋_GB2312" w:hAnsi="黑体" w:eastAsia="仿宋_GB2312"/>
          <w:b/>
          <w:sz w:val="32"/>
          <w:szCs w:val="32"/>
        </w:rPr>
        <w:t>3.</w:t>
      </w:r>
      <w:r>
        <w:rPr>
          <w:rFonts w:hint="eastAsia" w:ascii="仿宋_GB2312" w:hAnsi="黑体" w:eastAsia="仿宋_GB2312"/>
          <w:b/>
          <w:sz w:val="32"/>
          <w:szCs w:val="32"/>
        </w:rPr>
        <w:t>大数据与区块链</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210301</w:t>
      </w:r>
      <w:r>
        <w:rPr>
          <w:rFonts w:hint="eastAsia" w:ascii="仿宋_GB2312" w:hAnsi="Times New Roman" w:eastAsia="仿宋_GB2312"/>
          <w:sz w:val="32"/>
          <w:szCs w:val="32"/>
        </w:rPr>
        <w:t xml:space="preserve">  区块链核心算法、开源底层平台软件及硬件、区块链存储、跨链通信与数据协同、身份认证及隐私保护、溯源应用等关键技术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210302</w:t>
      </w:r>
      <w:r>
        <w:rPr>
          <w:rFonts w:hint="eastAsia" w:ascii="仿宋_GB2312" w:hAnsi="Times New Roman" w:eastAsia="仿宋_GB2312"/>
          <w:sz w:val="32"/>
          <w:szCs w:val="32"/>
        </w:rPr>
        <w:t xml:space="preserve">  大数据收集、挖掘、分析关键技术及核心设备</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210303</w:t>
      </w:r>
      <w:r>
        <w:rPr>
          <w:rFonts w:hint="eastAsia" w:ascii="仿宋_GB2312" w:hAnsi="Times New Roman" w:eastAsia="仿宋_GB2312"/>
          <w:sz w:val="32"/>
          <w:szCs w:val="32"/>
        </w:rPr>
        <w:t xml:space="preserve">  高性能计算、云计算、边缘计算等核心技术、云存储、离散存储等海量数据存储管理技术、系统平台管理、虚拟化技术</w:t>
      </w:r>
    </w:p>
    <w:p>
      <w:pPr>
        <w:adjustRightInd w:val="0"/>
        <w:snapToGrid w:val="0"/>
        <w:spacing w:line="600" w:lineRule="atLeast"/>
        <w:ind w:firstLine="643" w:firstLineChars="200"/>
        <w:rPr>
          <w:rFonts w:ascii="仿宋_GB2312" w:hAnsi="黑体" w:eastAsia="仿宋_GB2312"/>
          <w:b/>
          <w:sz w:val="32"/>
          <w:szCs w:val="32"/>
        </w:rPr>
      </w:pPr>
      <w:r>
        <w:rPr>
          <w:rFonts w:ascii="仿宋_GB2312" w:hAnsi="黑体" w:eastAsia="仿宋_GB2312"/>
          <w:b/>
          <w:sz w:val="32"/>
          <w:szCs w:val="32"/>
        </w:rPr>
        <w:t>4.</w:t>
      </w:r>
      <w:r>
        <w:rPr>
          <w:rFonts w:hint="eastAsia" w:ascii="仿宋_GB2312" w:hAnsi="黑体" w:eastAsia="仿宋_GB2312"/>
          <w:b/>
          <w:sz w:val="32"/>
          <w:szCs w:val="32"/>
        </w:rPr>
        <w:t>网络通信</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210401</w:t>
      </w:r>
      <w:r>
        <w:rPr>
          <w:rFonts w:hint="eastAsia" w:ascii="仿宋_GB2312" w:hAnsi="Times New Roman" w:eastAsia="仿宋_GB2312"/>
          <w:sz w:val="32"/>
          <w:szCs w:val="32"/>
        </w:rPr>
        <w:t xml:space="preserve">  5G/6G移动通信、毫米波与太赫兹无线通信、空天地海融合、窄带物联网（NB-IoT）、光通信等关键技术与设备制造技术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210402</w:t>
      </w:r>
      <w:r>
        <w:rPr>
          <w:rFonts w:hint="eastAsia" w:ascii="仿宋_GB2312" w:hAnsi="Times New Roman" w:eastAsia="仿宋_GB2312"/>
          <w:sz w:val="32"/>
          <w:szCs w:val="32"/>
        </w:rPr>
        <w:t xml:space="preserve">  下一代互联网（IPv6）、多网异构融合等关键技术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210403</w:t>
      </w:r>
      <w:r>
        <w:rPr>
          <w:rFonts w:hint="eastAsia" w:ascii="仿宋_GB2312" w:hAnsi="Times New Roman" w:eastAsia="仿宋_GB2312"/>
          <w:sz w:val="32"/>
          <w:szCs w:val="32"/>
        </w:rPr>
        <w:t xml:space="preserve">  网络空间安全、网络安全监测预警、物联网、工业互联网安全防护及保密关键技术与设备研发</w:t>
      </w:r>
    </w:p>
    <w:p>
      <w:pPr>
        <w:adjustRightInd w:val="0"/>
        <w:snapToGrid w:val="0"/>
        <w:spacing w:line="600" w:lineRule="atLeast"/>
        <w:ind w:firstLine="643" w:firstLineChars="200"/>
        <w:rPr>
          <w:rFonts w:ascii="仿宋_GB2312" w:hAnsi="黑体" w:eastAsia="仿宋_GB2312"/>
          <w:b/>
          <w:sz w:val="32"/>
          <w:szCs w:val="32"/>
        </w:rPr>
      </w:pPr>
      <w:r>
        <w:rPr>
          <w:rFonts w:ascii="仿宋_GB2312" w:hAnsi="黑体" w:eastAsia="仿宋_GB2312"/>
          <w:b/>
          <w:sz w:val="32"/>
          <w:szCs w:val="32"/>
        </w:rPr>
        <w:t>5</w:t>
      </w:r>
      <w:r>
        <w:rPr>
          <w:rFonts w:hint="eastAsia" w:ascii="仿宋_GB2312" w:hAnsi="黑体" w:eastAsia="仿宋_GB2312"/>
          <w:b/>
          <w:sz w:val="32"/>
          <w:szCs w:val="32"/>
        </w:rPr>
        <w:t>．国家新一代人工智能创新发展试验区建设</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210501</w:t>
      </w:r>
      <w:r>
        <w:rPr>
          <w:rFonts w:hint="eastAsia" w:ascii="仿宋_GB2312" w:hAnsi="Times New Roman" w:eastAsia="仿宋_GB2312"/>
          <w:b/>
          <w:sz w:val="32"/>
          <w:szCs w:val="32"/>
        </w:rPr>
        <w:t xml:space="preserve">  </w:t>
      </w:r>
      <w:r>
        <w:rPr>
          <w:rFonts w:hint="eastAsia" w:ascii="仿宋_GB2312" w:hAnsi="Times New Roman" w:eastAsia="仿宋_GB2312"/>
          <w:sz w:val="32"/>
          <w:szCs w:val="32"/>
        </w:rPr>
        <w:t>落实国家新一代人工智能创新发展试验区建设任务，支持人工智能协同创新工作，推动苏州市成为数字经济和人工智能应用高地。（定向组织）</w:t>
      </w:r>
    </w:p>
    <w:p>
      <w:pPr>
        <w:adjustRightInd w:val="0"/>
        <w:snapToGrid w:val="0"/>
        <w:spacing w:line="600" w:lineRule="atLeas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（二）先进制造</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210601</w:t>
      </w:r>
      <w:r>
        <w:rPr>
          <w:rFonts w:hint="eastAsia" w:ascii="仿宋_GB2312" w:hAnsi="Times New Roman" w:eastAsia="仿宋_GB2312"/>
          <w:sz w:val="32"/>
          <w:szCs w:val="32"/>
        </w:rPr>
        <w:t xml:space="preserve">  磁悬浮轴承、高端液压（气动）件、高性能密封件、微小型液压件等高性能机械基础件设计制造技术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210602</w:t>
      </w:r>
      <w:r>
        <w:rPr>
          <w:rFonts w:hint="eastAsia" w:ascii="仿宋_GB2312" w:hAnsi="Times New Roman" w:eastAsia="仿宋_GB2312"/>
          <w:sz w:val="32"/>
          <w:szCs w:val="32"/>
        </w:rPr>
        <w:t xml:space="preserve">  超精密加工及铸造、微纳跨尺度制造、多工艺复合加工、高精度光学器件加工、机器视觉智能检测等先进制造工艺及装备制造技术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210603</w:t>
      </w:r>
      <w:r>
        <w:rPr>
          <w:rFonts w:hint="eastAsia" w:ascii="仿宋_GB2312" w:hAnsi="Times New Roman" w:eastAsia="仿宋_GB2312"/>
          <w:sz w:val="32"/>
          <w:szCs w:val="32"/>
        </w:rPr>
        <w:t xml:space="preserve">  高端数控机床、大吨位智能化工程机械、高精度智能装备、智能化大型海工装备及高技术船舶、轨道交通装备、航空发动机等大型整机装备设计、控制软件及系统集成技术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210604</w:t>
      </w:r>
      <w:r>
        <w:rPr>
          <w:rFonts w:hint="eastAsia" w:ascii="仿宋_GB2312" w:hAnsi="Times New Roman" w:eastAsia="仿宋_GB2312"/>
          <w:sz w:val="32"/>
          <w:szCs w:val="32"/>
        </w:rPr>
        <w:t xml:space="preserve">  网络协同制造、按需制造、数字孪生及虚拟制造等智能制造关键技术及软件系统</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210605</w:t>
      </w:r>
      <w:r>
        <w:rPr>
          <w:rFonts w:hint="eastAsia" w:ascii="仿宋_GB2312" w:hAnsi="Times New Roman" w:eastAsia="仿宋_GB2312"/>
          <w:sz w:val="32"/>
          <w:szCs w:val="32"/>
        </w:rPr>
        <w:t xml:space="preserve">  轨道交通控制系统、关键部件及整车制造技术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210606</w:t>
      </w:r>
      <w:r>
        <w:rPr>
          <w:rFonts w:hint="eastAsia" w:ascii="仿宋_GB2312" w:hAnsi="Times New Roman" w:eastAsia="仿宋_GB2312"/>
          <w:sz w:val="32"/>
          <w:szCs w:val="32"/>
        </w:rPr>
        <w:t xml:space="preserve">  增材制造关键设备设计制造技术、增材制造先进加工工艺及关键设备制造技术、增材组合制造关键技术</w:t>
      </w:r>
    </w:p>
    <w:p>
      <w:pPr>
        <w:adjustRightInd w:val="0"/>
        <w:snapToGrid w:val="0"/>
        <w:spacing w:line="600" w:lineRule="atLeas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（三）新材料</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210701</w:t>
      </w:r>
      <w:r>
        <w:rPr>
          <w:rFonts w:hint="eastAsia" w:ascii="仿宋_GB2312" w:hAnsi="Times New Roman" w:eastAsia="仿宋_GB2312"/>
          <w:sz w:val="32"/>
          <w:szCs w:val="32"/>
        </w:rPr>
        <w:t xml:space="preserve">  超导、形状记忆、高强度、抗疲劳新型金属材料制备及应用技术，功能合金、金属间化合物、低缺陷金属粉末、高性能聚合物、陶瓷材料等增材制造材料制备关键技术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210702</w:t>
      </w:r>
      <w:r>
        <w:rPr>
          <w:rFonts w:hint="eastAsia" w:ascii="仿宋_GB2312" w:hAnsi="Times New Roman" w:eastAsia="仿宋_GB2312"/>
          <w:sz w:val="32"/>
          <w:szCs w:val="32"/>
        </w:rPr>
        <w:t xml:space="preserve">  高弹性、耐磨性、耐热性新型功能高分子材料的制备及应用技术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210703</w:t>
      </w:r>
      <w:r>
        <w:rPr>
          <w:rFonts w:hint="eastAsia" w:ascii="仿宋_GB2312" w:hAnsi="Times New Roman" w:eastAsia="仿宋_GB2312"/>
          <w:sz w:val="32"/>
          <w:szCs w:val="32"/>
        </w:rPr>
        <w:t xml:space="preserve">  特种高分子、陶瓷基复合材料、特种分离膜、金属有机框架（MOF）、生物基可降解塑料及助剂等新型功能材料制备技术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210704</w:t>
      </w:r>
      <w:r>
        <w:rPr>
          <w:rFonts w:hint="eastAsia" w:ascii="仿宋_GB2312" w:hAnsi="Times New Roman" w:eastAsia="仿宋_GB2312"/>
          <w:sz w:val="32"/>
          <w:szCs w:val="32"/>
        </w:rPr>
        <w:t xml:space="preserve">  高代次高温合金、高性能钛合金、高强高韧铝合金、高性能镁合金、高强度特种钢、高性能纤维等新型结构材料制备技术</w:t>
      </w:r>
    </w:p>
    <w:p>
      <w:pPr>
        <w:adjustRightInd w:val="0"/>
        <w:snapToGrid w:val="0"/>
        <w:spacing w:line="600" w:lineRule="atLeas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（四）新能源</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210801</w:t>
      </w:r>
      <w:r>
        <w:rPr>
          <w:rFonts w:hint="eastAsia" w:ascii="仿宋_GB2312" w:hAnsi="Times New Roman" w:eastAsia="仿宋_GB2312"/>
          <w:sz w:val="32"/>
          <w:szCs w:val="32"/>
        </w:rPr>
        <w:t xml:space="preserve">  固态锂离子电池、固体氧化物燃料电池、氢燃料电池、混合动力电池等高效动力电池、高性能安全快速充换电系统等关键技术及部件</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210802</w:t>
      </w:r>
      <w:r>
        <w:rPr>
          <w:rFonts w:hint="eastAsia" w:ascii="仿宋_GB2312" w:hAnsi="Times New Roman" w:eastAsia="仿宋_GB2312"/>
          <w:sz w:val="32"/>
          <w:szCs w:val="32"/>
        </w:rPr>
        <w:t xml:space="preserve">  新能源车整车智能化集成及轻量化设计及制造技术，分布式驱动电机、混合动力驱动系统、固态激光雷达等电机、电控关键技术及部件</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210803</w:t>
      </w:r>
      <w:r>
        <w:rPr>
          <w:rFonts w:hint="eastAsia" w:ascii="仿宋_GB2312" w:hAnsi="Times New Roman" w:eastAsia="仿宋_GB2312"/>
          <w:sz w:val="32"/>
          <w:szCs w:val="32"/>
        </w:rPr>
        <w:t xml:space="preserve">  氢能相关装备、材料及零部件关键技术</w:t>
      </w:r>
    </w:p>
    <w:p>
      <w:pPr>
        <w:adjustRightInd w:val="0"/>
        <w:snapToGrid w:val="0"/>
        <w:spacing w:line="600" w:lineRule="atLeas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（五）节能环保</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210901</w:t>
      </w:r>
      <w:r>
        <w:rPr>
          <w:rFonts w:hint="eastAsia" w:ascii="仿宋_GB2312" w:hAnsi="Times New Roman" w:eastAsia="仿宋_GB2312"/>
          <w:sz w:val="32"/>
          <w:szCs w:val="32"/>
        </w:rPr>
        <w:t xml:space="preserve">  新型高效工业节能减排技术及装备研发</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210902</w:t>
      </w:r>
      <w:r>
        <w:rPr>
          <w:rFonts w:hint="eastAsia" w:ascii="仿宋_GB2312" w:hAnsi="Times New Roman" w:eastAsia="仿宋_GB2312"/>
          <w:sz w:val="32"/>
          <w:szCs w:val="32"/>
        </w:rPr>
        <w:t xml:space="preserve">  三废高效洁净处理及资源化利用、碳捕集利用和封存、新型余废热高效利用等节能减排关键技术、环境监测及预警系统</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210903</w:t>
      </w:r>
      <w:r>
        <w:rPr>
          <w:rFonts w:hint="eastAsia" w:ascii="仿宋_GB2312" w:hAnsi="Times New Roman" w:eastAsia="仿宋_GB2312"/>
          <w:sz w:val="32"/>
          <w:szCs w:val="32"/>
        </w:rPr>
        <w:t xml:space="preserve">  大容量柔性输电、远距离特高压输电、大规模可再生能源并网与消纳、环保电缆等智能电网关键技术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210904</w:t>
      </w:r>
      <w:r>
        <w:rPr>
          <w:rFonts w:hint="eastAsia" w:ascii="仿宋_GB2312" w:hAnsi="Times New Roman" w:eastAsia="仿宋_GB2312"/>
          <w:sz w:val="32"/>
          <w:szCs w:val="32"/>
        </w:rPr>
        <w:t xml:space="preserve">  高性能低成本太阳能光伏和先进风机关键技术</w:t>
      </w:r>
    </w:p>
    <w:p>
      <w:pPr>
        <w:adjustRightInd w:val="0"/>
        <w:snapToGrid w:val="0"/>
        <w:spacing w:line="600" w:lineRule="atLeas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（六）安全生产</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w:t>
      </w:r>
      <w:r>
        <w:rPr>
          <w:rFonts w:hint="eastAsia" w:ascii="仿宋_GB2312" w:hAnsi="Times New Roman" w:eastAsia="仿宋_GB2312"/>
          <w:b/>
          <w:sz w:val="32"/>
          <w:szCs w:val="32"/>
        </w:rPr>
        <w:t>100</w:t>
      </w:r>
      <w:r>
        <w:rPr>
          <w:rFonts w:ascii="仿宋_GB2312" w:hAnsi="Times New Roman" w:eastAsia="仿宋_GB2312"/>
          <w:b/>
          <w:sz w:val="32"/>
          <w:szCs w:val="32"/>
        </w:rPr>
        <w:t>1</w:t>
      </w:r>
      <w:r>
        <w:rPr>
          <w:rFonts w:hint="eastAsia" w:ascii="仿宋_GB2312" w:hAnsi="Times New Roman" w:eastAsia="仿宋_GB2312"/>
          <w:sz w:val="32"/>
          <w:szCs w:val="32"/>
        </w:rPr>
        <w:t xml:space="preserve">  安全生产信息化、灾害事故监测预警、危险气体泄漏检测及精准定位、生命探测等灾害预警侦测、智慧安检、轨道交通安全检测系统等关键技术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w:t>
      </w:r>
      <w:r>
        <w:rPr>
          <w:rFonts w:hint="eastAsia" w:ascii="仿宋_GB2312" w:hAnsi="Times New Roman" w:eastAsia="仿宋_GB2312"/>
          <w:b/>
          <w:sz w:val="32"/>
          <w:szCs w:val="32"/>
        </w:rPr>
        <w:t>100</w:t>
      </w:r>
      <w:r>
        <w:rPr>
          <w:rFonts w:ascii="仿宋_GB2312" w:hAnsi="Times New Roman" w:eastAsia="仿宋_GB2312"/>
          <w:b/>
          <w:sz w:val="32"/>
          <w:szCs w:val="32"/>
        </w:rPr>
        <w:t xml:space="preserve">2 </w:t>
      </w:r>
      <w:r>
        <w:rPr>
          <w:rFonts w:hint="eastAsia" w:ascii="仿宋_GB2312" w:hAnsi="Times New Roman" w:eastAsia="仿宋_GB2312"/>
          <w:sz w:val="32"/>
          <w:szCs w:val="32"/>
        </w:rPr>
        <w:t xml:space="preserve"> 危险环境作业、安全巡检、应急救援等机器人，高机动救援成套化装备等安全生产智能装备制造技术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w:t>
      </w:r>
      <w:r>
        <w:rPr>
          <w:rFonts w:hint="eastAsia" w:ascii="仿宋_GB2312" w:hAnsi="Times New Roman" w:eastAsia="仿宋_GB2312"/>
          <w:b/>
          <w:sz w:val="32"/>
          <w:szCs w:val="32"/>
        </w:rPr>
        <w:t>100</w:t>
      </w:r>
      <w:r>
        <w:rPr>
          <w:rFonts w:ascii="仿宋_GB2312" w:hAnsi="Times New Roman" w:eastAsia="仿宋_GB2312"/>
          <w:b/>
          <w:sz w:val="32"/>
          <w:szCs w:val="32"/>
        </w:rPr>
        <w:t xml:space="preserve">3  </w:t>
      </w:r>
      <w:r>
        <w:rPr>
          <w:rFonts w:hint="eastAsia" w:ascii="仿宋_GB2312" w:hAnsi="Times New Roman" w:eastAsia="仿宋_GB2312"/>
          <w:sz w:val="32"/>
          <w:szCs w:val="32"/>
        </w:rPr>
        <w:t>便携式自组网通信终端、远距离透地通信及人员精准定位、井下水下远距离救援通信等应急救援通信关键技术</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w:t>
      </w:r>
      <w:r>
        <w:rPr>
          <w:rFonts w:hint="eastAsia" w:ascii="仿宋_GB2312" w:hAnsi="Times New Roman" w:eastAsia="仿宋_GB2312"/>
          <w:b/>
          <w:sz w:val="32"/>
          <w:szCs w:val="32"/>
        </w:rPr>
        <w:t>100</w:t>
      </w:r>
      <w:r>
        <w:rPr>
          <w:rFonts w:ascii="仿宋_GB2312" w:hAnsi="Times New Roman" w:eastAsia="仿宋_GB2312"/>
          <w:b/>
          <w:sz w:val="32"/>
          <w:szCs w:val="32"/>
        </w:rPr>
        <w:t>4</w:t>
      </w:r>
      <w:r>
        <w:rPr>
          <w:rFonts w:hint="eastAsia" w:ascii="仿宋_GB2312" w:hAnsi="Times New Roman" w:eastAsia="仿宋_GB2312"/>
          <w:sz w:val="32"/>
          <w:szCs w:val="32"/>
        </w:rPr>
        <w:t xml:space="preserve"> 危化品贮槽应急堵漏、危险气体泄漏安全环保处置、险恶环境灭火救援等灾害应急处置关键技术</w:t>
      </w:r>
    </w:p>
    <w:p>
      <w:pPr>
        <w:adjustRightInd w:val="0"/>
        <w:snapToGrid w:val="0"/>
        <w:spacing w:line="600" w:lineRule="atLeast"/>
        <w:ind w:firstLine="643" w:firstLineChars="200"/>
        <w:rPr>
          <w:rFonts w:ascii="楷体_GB2312" w:hAnsi="Times New Roman" w:eastAsia="楷体_GB2312"/>
          <w:b/>
          <w:sz w:val="32"/>
          <w:szCs w:val="32"/>
        </w:rPr>
      </w:pPr>
      <w:r>
        <w:rPr>
          <w:rFonts w:hint="eastAsia" w:ascii="楷体_GB2312" w:hAnsi="Times New Roman" w:eastAsia="楷体_GB2312"/>
          <w:b/>
          <w:sz w:val="32"/>
          <w:szCs w:val="32"/>
        </w:rPr>
        <w:t>（七）其他</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w:t>
      </w:r>
      <w:r>
        <w:rPr>
          <w:rFonts w:hint="eastAsia" w:ascii="仿宋_GB2312" w:hAnsi="Times New Roman" w:eastAsia="仿宋_GB2312"/>
          <w:b/>
          <w:sz w:val="32"/>
          <w:szCs w:val="32"/>
        </w:rPr>
        <w:t>110</w:t>
      </w:r>
      <w:r>
        <w:rPr>
          <w:rFonts w:ascii="仿宋_GB2312" w:hAnsi="Times New Roman" w:eastAsia="仿宋_GB2312"/>
          <w:b/>
          <w:sz w:val="32"/>
          <w:szCs w:val="32"/>
        </w:rPr>
        <w:t>1</w:t>
      </w:r>
      <w:r>
        <w:rPr>
          <w:rFonts w:hint="eastAsia" w:ascii="仿宋_GB2312" w:hAnsi="Times New Roman" w:eastAsia="仿宋_GB2312"/>
          <w:sz w:val="32"/>
          <w:szCs w:val="32"/>
        </w:rPr>
        <w:t xml:space="preserve">  文化科技融合支撑技术及产品研发</w:t>
      </w:r>
    </w:p>
    <w:p>
      <w:pPr>
        <w:adjustRightInd w:val="0"/>
        <w:snapToGrid w:val="0"/>
        <w:spacing w:line="600" w:lineRule="atLeast"/>
        <w:ind w:firstLine="643" w:firstLineChars="200"/>
        <w:rPr>
          <w:rFonts w:ascii="仿宋_GB2312" w:hAnsi="Times New Roman" w:eastAsia="仿宋_GB2312"/>
          <w:sz w:val="32"/>
          <w:szCs w:val="32"/>
        </w:rPr>
      </w:pPr>
      <w:r>
        <w:rPr>
          <w:rFonts w:ascii="仿宋_GB2312" w:hAnsi="Times New Roman" w:eastAsia="仿宋_GB2312"/>
          <w:b/>
          <w:sz w:val="32"/>
          <w:szCs w:val="32"/>
        </w:rPr>
        <w:t>21</w:t>
      </w:r>
      <w:r>
        <w:rPr>
          <w:rFonts w:hint="eastAsia" w:ascii="仿宋_GB2312" w:hAnsi="Times New Roman" w:eastAsia="仿宋_GB2312"/>
          <w:b/>
          <w:sz w:val="32"/>
          <w:szCs w:val="32"/>
        </w:rPr>
        <w:t>1102</w:t>
      </w:r>
      <w:r>
        <w:rPr>
          <w:rFonts w:hint="eastAsia" w:ascii="仿宋_GB2312" w:hAnsi="Times New Roman" w:eastAsia="仿宋_GB2312"/>
          <w:sz w:val="32"/>
          <w:szCs w:val="32"/>
        </w:rPr>
        <w:t xml:space="preserve">  军民融合技术及产品研发</w:t>
      </w:r>
    </w:p>
    <w:p>
      <w:pPr>
        <w:adjustRightInd w:val="0"/>
        <w:snapToGrid w:val="0"/>
        <w:spacing w:line="600" w:lineRule="atLeast"/>
        <w:ind w:firstLine="643" w:firstLineChars="200"/>
        <w:rPr>
          <w:rFonts w:ascii="Times New Roman" w:hAnsi="黑体" w:eastAsia="黑体"/>
          <w:sz w:val="32"/>
          <w:szCs w:val="32"/>
        </w:rPr>
        <w:sectPr>
          <w:footerReference r:id="rId3" w:type="default"/>
          <w:footerReference r:id="rId4" w:type="even"/>
          <w:pgSz w:w="11906" w:h="16838"/>
          <w:pgMar w:top="1418" w:right="1418" w:bottom="1418" w:left="1418" w:header="340" w:footer="1021" w:gutter="0"/>
          <w:cols w:space="720" w:num="1"/>
          <w:docGrid w:linePitch="312" w:charSpace="0"/>
        </w:sectPr>
      </w:pPr>
      <w:r>
        <w:rPr>
          <w:rFonts w:ascii="仿宋_GB2312" w:hAnsi="Times New Roman" w:eastAsia="仿宋_GB2312"/>
          <w:b/>
          <w:sz w:val="32"/>
          <w:szCs w:val="32"/>
        </w:rPr>
        <w:t>21</w:t>
      </w:r>
      <w:r>
        <w:rPr>
          <w:rFonts w:hint="eastAsia" w:ascii="仿宋_GB2312" w:hAnsi="Times New Roman" w:eastAsia="仿宋_GB2312"/>
          <w:b/>
          <w:sz w:val="32"/>
          <w:szCs w:val="32"/>
        </w:rPr>
        <w:t>110</w:t>
      </w:r>
      <w:r>
        <w:rPr>
          <w:rFonts w:ascii="仿宋_GB2312" w:hAnsi="Times New Roman" w:eastAsia="仿宋_GB2312"/>
          <w:b/>
          <w:sz w:val="32"/>
          <w:szCs w:val="32"/>
        </w:rPr>
        <w:t>3</w:t>
      </w:r>
      <w:r>
        <w:rPr>
          <w:rFonts w:hint="eastAsia" w:ascii="仿宋_GB2312" w:hAnsi="Times New Roman" w:eastAsia="仿宋_GB2312"/>
          <w:sz w:val="32"/>
          <w:szCs w:val="32"/>
        </w:rPr>
        <w:t xml:space="preserve">  除上述所列技术方向外，其他技术创新性高、突破性强、带动性大的创新关键核心技术</w:t>
      </w:r>
    </w:p>
    <w:p>
      <w:pPr>
        <w:adjustRightInd w:val="0"/>
        <w:snapToGrid w:val="0"/>
        <w:spacing w:line="600" w:lineRule="atLeast"/>
        <w:rPr>
          <w:rFonts w:ascii="方正小标宋简体" w:hAnsi="Times New Roman" w:eastAsia="方正小标宋简体"/>
          <w:sz w:val="44"/>
          <w:szCs w:val="44"/>
        </w:rPr>
      </w:pPr>
      <w:r>
        <w:rPr>
          <w:rFonts w:ascii="Times New Roman" w:hAnsi="黑体" w:eastAsia="黑体"/>
          <w:sz w:val="32"/>
          <w:szCs w:val="32"/>
        </w:rPr>
        <w:t>附件</w:t>
      </w:r>
      <w:r>
        <w:rPr>
          <w:rFonts w:ascii="Times New Roman" w:hAnsi="Times New Roman" w:eastAsia="黑体"/>
          <w:sz w:val="32"/>
          <w:szCs w:val="32"/>
        </w:rPr>
        <w:t>2</w:t>
      </w:r>
    </w:p>
    <w:p>
      <w:pPr>
        <w:adjustRightInd w:val="0"/>
        <w:snapToGrid w:val="0"/>
        <w:spacing w:line="600" w:lineRule="atLeast"/>
        <w:ind w:firstLine="880"/>
        <w:jc w:val="center"/>
        <w:rPr>
          <w:rFonts w:ascii="宋体" w:hAnsi="宋体" w:cs="宋体"/>
          <w:sz w:val="44"/>
          <w:szCs w:val="44"/>
        </w:rPr>
      </w:pPr>
      <w:r>
        <w:rPr>
          <w:rFonts w:hint="eastAsia" w:ascii="方正小标宋简体" w:hAnsi="Times New Roman" w:eastAsia="方正小标宋简体"/>
          <w:sz w:val="44"/>
          <w:szCs w:val="44"/>
        </w:rPr>
        <w:t>2021年苏州市重点产业技术创新项目推荐汇总表</w:t>
      </w:r>
    </w:p>
    <w:p>
      <w:pPr>
        <w:adjustRightInd w:val="0"/>
        <w:snapToGrid w:val="0"/>
        <w:spacing w:before="120" w:beforeLines="50" w:after="120" w:afterLines="50" w:line="600" w:lineRule="atLeast"/>
        <w:jc w:val="left"/>
        <w:rPr>
          <w:rFonts w:ascii="仿宋_GB2312" w:hAnsi="宋体" w:eastAsia="仿宋_GB2312" w:cs="宋体"/>
          <w:sz w:val="32"/>
          <w:szCs w:val="32"/>
        </w:rPr>
      </w:pPr>
      <w:r>
        <w:rPr>
          <w:rFonts w:hint="eastAsia" w:ascii="仿宋_GB2312" w:hAnsi="宋体" w:eastAsia="仿宋_GB2312" w:cs="宋体"/>
          <w:sz w:val="32"/>
          <w:szCs w:val="32"/>
        </w:rPr>
        <w:t>主管部门：</w:t>
      </w:r>
      <w:r>
        <w:rPr>
          <w:rFonts w:ascii="仿宋_GB2312" w:hAnsi="宋体" w:eastAsia="仿宋_GB2312" w:cs="宋体"/>
          <w:sz w:val="32"/>
          <w:szCs w:val="32"/>
        </w:rPr>
        <w:t xml:space="preserve">     （盖章）</w:t>
      </w:r>
    </w:p>
    <w:tbl>
      <w:tblPr>
        <w:tblStyle w:val="3"/>
        <w:tblW w:w="14029" w:type="dxa"/>
        <w:tblInd w:w="9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205"/>
        <w:gridCol w:w="1275"/>
        <w:gridCol w:w="2835"/>
        <w:gridCol w:w="2287"/>
        <w:gridCol w:w="1520"/>
        <w:gridCol w:w="1315"/>
        <w:gridCol w:w="1504"/>
        <w:gridCol w:w="10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0" w:type="dxa"/>
            <w:noWrap/>
            <w:vAlign w:val="center"/>
          </w:tcPr>
          <w:p>
            <w:pPr>
              <w:widowControl/>
              <w:adjustRightInd w:val="0"/>
              <w:snapToGrid w:val="0"/>
              <w:spacing w:line="240" w:lineRule="atLeast"/>
              <w:jc w:val="center"/>
              <w:rPr>
                <w:rFonts w:ascii="黑体" w:hAnsi="黑体" w:eastAsia="黑体" w:cs="宋体"/>
                <w:kern w:val="0"/>
                <w:sz w:val="22"/>
                <w:szCs w:val="22"/>
              </w:rPr>
            </w:pPr>
            <w:r>
              <w:rPr>
                <w:rFonts w:hint="eastAsia" w:ascii="黑体" w:hAnsi="黑体" w:eastAsia="黑体" w:cs="宋体"/>
                <w:kern w:val="0"/>
                <w:sz w:val="22"/>
                <w:szCs w:val="22"/>
              </w:rPr>
              <w:t>序号</w:t>
            </w:r>
          </w:p>
        </w:tc>
        <w:tc>
          <w:tcPr>
            <w:tcW w:w="1205" w:type="dxa"/>
            <w:noWrap/>
            <w:vAlign w:val="center"/>
          </w:tcPr>
          <w:p>
            <w:pPr>
              <w:widowControl/>
              <w:adjustRightInd w:val="0"/>
              <w:snapToGrid w:val="0"/>
              <w:spacing w:line="240" w:lineRule="atLeast"/>
              <w:jc w:val="center"/>
              <w:rPr>
                <w:rFonts w:ascii="黑体" w:hAnsi="黑体" w:eastAsia="黑体" w:cs="宋体"/>
                <w:kern w:val="0"/>
                <w:sz w:val="22"/>
                <w:szCs w:val="22"/>
              </w:rPr>
            </w:pPr>
            <w:r>
              <w:rPr>
                <w:rFonts w:hint="eastAsia" w:ascii="黑体" w:hAnsi="黑体" w:eastAsia="黑体" w:cs="宋体"/>
                <w:kern w:val="0"/>
                <w:sz w:val="22"/>
                <w:szCs w:val="22"/>
              </w:rPr>
              <w:t>申报类别</w:t>
            </w:r>
          </w:p>
        </w:tc>
        <w:tc>
          <w:tcPr>
            <w:tcW w:w="1275" w:type="dxa"/>
            <w:noWrap/>
            <w:vAlign w:val="center"/>
          </w:tcPr>
          <w:p>
            <w:pPr>
              <w:widowControl/>
              <w:adjustRightInd w:val="0"/>
              <w:snapToGrid w:val="0"/>
              <w:spacing w:line="240" w:lineRule="atLeast"/>
              <w:jc w:val="center"/>
              <w:rPr>
                <w:rFonts w:ascii="黑体" w:hAnsi="黑体" w:eastAsia="黑体" w:cs="宋体"/>
                <w:kern w:val="0"/>
                <w:sz w:val="22"/>
                <w:szCs w:val="22"/>
              </w:rPr>
            </w:pPr>
            <w:r>
              <w:rPr>
                <w:rFonts w:hint="eastAsia" w:ascii="黑体" w:hAnsi="黑体" w:eastAsia="黑体" w:cs="宋体"/>
                <w:kern w:val="0"/>
                <w:sz w:val="22"/>
                <w:szCs w:val="22"/>
              </w:rPr>
              <w:t>指南代码</w:t>
            </w:r>
          </w:p>
        </w:tc>
        <w:tc>
          <w:tcPr>
            <w:tcW w:w="2835" w:type="dxa"/>
            <w:noWrap/>
            <w:vAlign w:val="center"/>
          </w:tcPr>
          <w:p>
            <w:pPr>
              <w:widowControl/>
              <w:adjustRightInd w:val="0"/>
              <w:snapToGrid w:val="0"/>
              <w:spacing w:line="240" w:lineRule="atLeast"/>
              <w:jc w:val="center"/>
              <w:rPr>
                <w:rFonts w:ascii="黑体" w:hAnsi="黑体" w:eastAsia="黑体" w:cs="宋体"/>
                <w:kern w:val="0"/>
                <w:sz w:val="22"/>
                <w:szCs w:val="22"/>
              </w:rPr>
            </w:pPr>
            <w:r>
              <w:rPr>
                <w:rFonts w:hint="eastAsia" w:ascii="黑体" w:hAnsi="黑体" w:eastAsia="黑体" w:cs="宋体"/>
                <w:kern w:val="0"/>
                <w:sz w:val="22"/>
                <w:szCs w:val="22"/>
              </w:rPr>
              <w:t>项目名称</w:t>
            </w:r>
          </w:p>
        </w:tc>
        <w:tc>
          <w:tcPr>
            <w:tcW w:w="2287" w:type="dxa"/>
            <w:noWrap/>
            <w:vAlign w:val="center"/>
          </w:tcPr>
          <w:p>
            <w:pPr>
              <w:widowControl/>
              <w:adjustRightInd w:val="0"/>
              <w:snapToGrid w:val="0"/>
              <w:spacing w:line="240" w:lineRule="atLeast"/>
              <w:jc w:val="center"/>
              <w:rPr>
                <w:rFonts w:ascii="黑体" w:hAnsi="黑体" w:eastAsia="黑体" w:cs="宋体"/>
                <w:kern w:val="0"/>
                <w:sz w:val="22"/>
                <w:szCs w:val="22"/>
              </w:rPr>
            </w:pPr>
            <w:r>
              <w:rPr>
                <w:rFonts w:hint="eastAsia" w:ascii="黑体" w:hAnsi="黑体" w:eastAsia="黑体" w:cs="宋体"/>
                <w:kern w:val="0"/>
                <w:sz w:val="22"/>
                <w:szCs w:val="22"/>
              </w:rPr>
              <w:t>申报单位</w:t>
            </w:r>
          </w:p>
        </w:tc>
        <w:tc>
          <w:tcPr>
            <w:tcW w:w="1520" w:type="dxa"/>
            <w:noWrap/>
            <w:vAlign w:val="center"/>
          </w:tcPr>
          <w:p>
            <w:pPr>
              <w:widowControl/>
              <w:adjustRightInd w:val="0"/>
              <w:snapToGrid w:val="0"/>
              <w:spacing w:line="240" w:lineRule="atLeast"/>
              <w:jc w:val="center"/>
              <w:rPr>
                <w:rFonts w:ascii="黑体" w:hAnsi="黑体" w:eastAsia="黑体" w:cs="宋体"/>
                <w:kern w:val="0"/>
                <w:sz w:val="22"/>
                <w:szCs w:val="22"/>
              </w:rPr>
            </w:pPr>
            <w:r>
              <w:rPr>
                <w:rFonts w:hint="eastAsia" w:ascii="黑体" w:hAnsi="黑体" w:eastAsia="黑体" w:cs="宋体"/>
                <w:kern w:val="0"/>
                <w:sz w:val="22"/>
                <w:szCs w:val="22"/>
              </w:rPr>
              <w:t>项目负责人</w:t>
            </w:r>
          </w:p>
        </w:tc>
        <w:tc>
          <w:tcPr>
            <w:tcW w:w="1315" w:type="dxa"/>
            <w:noWrap/>
            <w:vAlign w:val="center"/>
          </w:tcPr>
          <w:p>
            <w:pPr>
              <w:widowControl/>
              <w:adjustRightInd w:val="0"/>
              <w:snapToGrid w:val="0"/>
              <w:spacing w:line="240" w:lineRule="atLeast"/>
              <w:jc w:val="center"/>
              <w:rPr>
                <w:rFonts w:ascii="黑体" w:hAnsi="黑体" w:eastAsia="黑体" w:cs="宋体"/>
                <w:kern w:val="0"/>
                <w:sz w:val="22"/>
                <w:szCs w:val="22"/>
              </w:rPr>
            </w:pPr>
            <w:r>
              <w:rPr>
                <w:rFonts w:hint="eastAsia" w:ascii="黑体" w:hAnsi="黑体" w:eastAsia="黑体" w:cs="宋体"/>
                <w:kern w:val="0"/>
                <w:sz w:val="22"/>
                <w:szCs w:val="22"/>
              </w:rPr>
              <w:t>主管部门</w:t>
            </w:r>
          </w:p>
        </w:tc>
        <w:tc>
          <w:tcPr>
            <w:tcW w:w="1504" w:type="dxa"/>
            <w:noWrap w:val="0"/>
            <w:vAlign w:val="center"/>
          </w:tcPr>
          <w:p>
            <w:pPr>
              <w:widowControl/>
              <w:adjustRightInd w:val="0"/>
              <w:snapToGrid w:val="0"/>
              <w:spacing w:line="240" w:lineRule="atLeast"/>
              <w:jc w:val="center"/>
              <w:rPr>
                <w:rFonts w:ascii="黑体" w:hAnsi="黑体" w:eastAsia="黑体" w:cs="宋体"/>
                <w:kern w:val="0"/>
                <w:sz w:val="22"/>
                <w:szCs w:val="22"/>
              </w:rPr>
            </w:pPr>
            <w:r>
              <w:rPr>
                <w:rFonts w:hint="eastAsia" w:ascii="黑体" w:hAnsi="黑体" w:eastAsia="黑体" w:cs="宋体"/>
                <w:kern w:val="0"/>
                <w:sz w:val="22"/>
                <w:szCs w:val="22"/>
              </w:rPr>
              <w:t>所在高新区</w:t>
            </w:r>
          </w:p>
        </w:tc>
        <w:tc>
          <w:tcPr>
            <w:tcW w:w="1008" w:type="dxa"/>
            <w:noWrap/>
            <w:vAlign w:val="center"/>
          </w:tcPr>
          <w:p>
            <w:pPr>
              <w:widowControl/>
              <w:adjustRightInd w:val="0"/>
              <w:snapToGrid w:val="0"/>
              <w:spacing w:line="240" w:lineRule="atLeast"/>
              <w:jc w:val="center"/>
              <w:rPr>
                <w:rFonts w:ascii="黑体" w:hAnsi="黑体" w:eastAsia="黑体" w:cs="宋体"/>
                <w:kern w:val="0"/>
                <w:sz w:val="22"/>
                <w:szCs w:val="22"/>
              </w:rPr>
            </w:pPr>
            <w:r>
              <w:rPr>
                <w:rFonts w:hint="eastAsia" w:ascii="黑体" w:hAnsi="黑体" w:eastAsia="黑体" w:cs="宋体"/>
                <w:kern w:val="0"/>
                <w:sz w:val="22"/>
                <w:szCs w:val="22"/>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0" w:type="dxa"/>
            <w:noWrap/>
            <w:vAlign w:val="center"/>
          </w:tcPr>
          <w:p>
            <w:pPr>
              <w:widowControl/>
              <w:adjustRightInd w:val="0"/>
              <w:snapToGrid w:val="0"/>
              <w:spacing w:line="240" w:lineRule="atLeast"/>
              <w:jc w:val="center"/>
              <w:rPr>
                <w:rFonts w:ascii="宋体" w:hAnsi="宋体" w:cs="宋体"/>
                <w:kern w:val="0"/>
                <w:sz w:val="22"/>
                <w:szCs w:val="22"/>
              </w:rPr>
            </w:pPr>
            <w:r>
              <w:rPr>
                <w:rFonts w:hint="eastAsia" w:ascii="宋体" w:hAnsi="宋体" w:cs="宋体"/>
                <w:kern w:val="0"/>
                <w:sz w:val="22"/>
                <w:szCs w:val="22"/>
              </w:rPr>
              <w:t>1</w:t>
            </w:r>
          </w:p>
        </w:tc>
        <w:tc>
          <w:tcPr>
            <w:tcW w:w="1205" w:type="dxa"/>
            <w:noWrap/>
            <w:vAlign w:val="center"/>
          </w:tcPr>
          <w:p>
            <w:pPr>
              <w:widowControl/>
              <w:adjustRightInd w:val="0"/>
              <w:snapToGrid w:val="0"/>
              <w:spacing w:line="240" w:lineRule="atLeast"/>
              <w:jc w:val="center"/>
              <w:rPr>
                <w:rFonts w:ascii="宋体" w:hAnsi="宋体" w:cs="宋体"/>
                <w:kern w:val="0"/>
                <w:sz w:val="22"/>
                <w:szCs w:val="22"/>
              </w:rPr>
            </w:pPr>
          </w:p>
        </w:tc>
        <w:tc>
          <w:tcPr>
            <w:tcW w:w="1275" w:type="dxa"/>
            <w:noWrap/>
            <w:vAlign w:val="center"/>
          </w:tcPr>
          <w:p>
            <w:pPr>
              <w:widowControl/>
              <w:adjustRightInd w:val="0"/>
              <w:snapToGrid w:val="0"/>
              <w:spacing w:line="240" w:lineRule="atLeast"/>
              <w:jc w:val="center"/>
              <w:rPr>
                <w:rFonts w:ascii="宋体" w:hAnsi="宋体" w:cs="宋体"/>
                <w:kern w:val="0"/>
                <w:sz w:val="22"/>
                <w:szCs w:val="22"/>
              </w:rPr>
            </w:pPr>
          </w:p>
        </w:tc>
        <w:tc>
          <w:tcPr>
            <w:tcW w:w="2835" w:type="dxa"/>
            <w:noWrap/>
            <w:vAlign w:val="center"/>
          </w:tcPr>
          <w:p>
            <w:pPr>
              <w:widowControl/>
              <w:adjustRightInd w:val="0"/>
              <w:snapToGrid w:val="0"/>
              <w:spacing w:line="240" w:lineRule="atLeast"/>
              <w:jc w:val="center"/>
              <w:rPr>
                <w:rFonts w:ascii="宋体" w:hAnsi="宋体" w:cs="宋体"/>
                <w:kern w:val="0"/>
                <w:sz w:val="22"/>
                <w:szCs w:val="22"/>
              </w:rPr>
            </w:pPr>
          </w:p>
        </w:tc>
        <w:tc>
          <w:tcPr>
            <w:tcW w:w="2287" w:type="dxa"/>
            <w:noWrap/>
            <w:vAlign w:val="center"/>
          </w:tcPr>
          <w:p>
            <w:pPr>
              <w:widowControl/>
              <w:adjustRightInd w:val="0"/>
              <w:snapToGrid w:val="0"/>
              <w:spacing w:line="240" w:lineRule="atLeast"/>
              <w:jc w:val="center"/>
              <w:rPr>
                <w:rFonts w:ascii="宋体" w:hAnsi="宋体" w:cs="宋体"/>
                <w:kern w:val="0"/>
                <w:sz w:val="22"/>
                <w:szCs w:val="22"/>
              </w:rPr>
            </w:pPr>
          </w:p>
        </w:tc>
        <w:tc>
          <w:tcPr>
            <w:tcW w:w="1520" w:type="dxa"/>
            <w:noWrap/>
            <w:vAlign w:val="center"/>
          </w:tcPr>
          <w:p>
            <w:pPr>
              <w:widowControl/>
              <w:adjustRightInd w:val="0"/>
              <w:snapToGrid w:val="0"/>
              <w:spacing w:line="240" w:lineRule="atLeast"/>
              <w:jc w:val="center"/>
              <w:rPr>
                <w:rFonts w:ascii="宋体" w:hAnsi="宋体" w:cs="宋体"/>
                <w:kern w:val="0"/>
                <w:sz w:val="22"/>
                <w:szCs w:val="22"/>
              </w:rPr>
            </w:pPr>
          </w:p>
        </w:tc>
        <w:tc>
          <w:tcPr>
            <w:tcW w:w="1315" w:type="dxa"/>
            <w:noWrap/>
            <w:vAlign w:val="center"/>
          </w:tcPr>
          <w:p>
            <w:pPr>
              <w:widowControl/>
              <w:adjustRightInd w:val="0"/>
              <w:snapToGrid w:val="0"/>
              <w:spacing w:line="240" w:lineRule="atLeast"/>
              <w:jc w:val="center"/>
              <w:rPr>
                <w:rFonts w:ascii="宋体" w:hAnsi="宋体" w:cs="宋体"/>
                <w:kern w:val="0"/>
                <w:sz w:val="22"/>
                <w:szCs w:val="22"/>
              </w:rPr>
            </w:pPr>
          </w:p>
        </w:tc>
        <w:tc>
          <w:tcPr>
            <w:tcW w:w="1504" w:type="dxa"/>
            <w:noWrap w:val="0"/>
            <w:vAlign w:val="center"/>
          </w:tcPr>
          <w:p>
            <w:pPr>
              <w:widowControl/>
              <w:adjustRightInd w:val="0"/>
              <w:snapToGrid w:val="0"/>
              <w:spacing w:line="240" w:lineRule="atLeast"/>
              <w:jc w:val="center"/>
              <w:rPr>
                <w:rFonts w:ascii="宋体" w:hAnsi="宋体" w:cs="宋体"/>
                <w:kern w:val="0"/>
                <w:sz w:val="22"/>
                <w:szCs w:val="22"/>
              </w:rPr>
            </w:pPr>
          </w:p>
        </w:tc>
        <w:tc>
          <w:tcPr>
            <w:tcW w:w="1008" w:type="dxa"/>
            <w:noWrap/>
            <w:vAlign w:val="center"/>
          </w:tcPr>
          <w:p>
            <w:pPr>
              <w:widowControl/>
              <w:adjustRightInd w:val="0"/>
              <w:snapToGrid w:val="0"/>
              <w:spacing w:line="240" w:lineRule="atLeast"/>
              <w:jc w:val="center"/>
              <w:rPr>
                <w:rFonts w:ascii="宋体" w:hAnsi="宋体" w:cs="宋体"/>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0" w:type="dxa"/>
            <w:noWrap/>
            <w:vAlign w:val="center"/>
          </w:tcPr>
          <w:p>
            <w:pPr>
              <w:widowControl/>
              <w:adjustRightInd w:val="0"/>
              <w:snapToGrid w:val="0"/>
              <w:spacing w:line="240" w:lineRule="atLeast"/>
              <w:jc w:val="center"/>
              <w:rPr>
                <w:rFonts w:ascii="宋体" w:hAnsi="宋体" w:cs="宋体"/>
                <w:kern w:val="0"/>
                <w:sz w:val="22"/>
                <w:szCs w:val="22"/>
              </w:rPr>
            </w:pPr>
            <w:r>
              <w:rPr>
                <w:rFonts w:hint="eastAsia" w:ascii="宋体" w:hAnsi="宋体" w:cs="宋体"/>
                <w:kern w:val="0"/>
                <w:sz w:val="22"/>
                <w:szCs w:val="22"/>
              </w:rPr>
              <w:t>2</w:t>
            </w:r>
          </w:p>
        </w:tc>
        <w:tc>
          <w:tcPr>
            <w:tcW w:w="1205" w:type="dxa"/>
            <w:noWrap/>
            <w:vAlign w:val="center"/>
          </w:tcPr>
          <w:p>
            <w:pPr>
              <w:widowControl/>
              <w:adjustRightInd w:val="0"/>
              <w:snapToGrid w:val="0"/>
              <w:spacing w:line="240" w:lineRule="atLeast"/>
              <w:jc w:val="center"/>
              <w:rPr>
                <w:rFonts w:ascii="宋体" w:hAnsi="宋体" w:cs="宋体"/>
                <w:kern w:val="0"/>
                <w:sz w:val="22"/>
                <w:szCs w:val="22"/>
              </w:rPr>
            </w:pPr>
          </w:p>
        </w:tc>
        <w:tc>
          <w:tcPr>
            <w:tcW w:w="1275" w:type="dxa"/>
            <w:noWrap/>
            <w:vAlign w:val="center"/>
          </w:tcPr>
          <w:p>
            <w:pPr>
              <w:widowControl/>
              <w:adjustRightInd w:val="0"/>
              <w:snapToGrid w:val="0"/>
              <w:spacing w:line="240" w:lineRule="atLeast"/>
              <w:jc w:val="center"/>
              <w:rPr>
                <w:rFonts w:ascii="宋体" w:hAnsi="宋体" w:cs="宋体"/>
                <w:kern w:val="0"/>
                <w:sz w:val="22"/>
                <w:szCs w:val="22"/>
              </w:rPr>
            </w:pPr>
          </w:p>
        </w:tc>
        <w:tc>
          <w:tcPr>
            <w:tcW w:w="2835" w:type="dxa"/>
            <w:noWrap/>
            <w:vAlign w:val="center"/>
          </w:tcPr>
          <w:p>
            <w:pPr>
              <w:widowControl/>
              <w:adjustRightInd w:val="0"/>
              <w:snapToGrid w:val="0"/>
              <w:spacing w:line="240" w:lineRule="atLeast"/>
              <w:jc w:val="center"/>
              <w:rPr>
                <w:rFonts w:ascii="宋体" w:hAnsi="宋体" w:cs="宋体"/>
                <w:kern w:val="0"/>
                <w:sz w:val="22"/>
                <w:szCs w:val="22"/>
              </w:rPr>
            </w:pPr>
          </w:p>
        </w:tc>
        <w:tc>
          <w:tcPr>
            <w:tcW w:w="2287" w:type="dxa"/>
            <w:noWrap/>
            <w:vAlign w:val="center"/>
          </w:tcPr>
          <w:p>
            <w:pPr>
              <w:widowControl/>
              <w:adjustRightInd w:val="0"/>
              <w:snapToGrid w:val="0"/>
              <w:spacing w:line="240" w:lineRule="atLeast"/>
              <w:jc w:val="center"/>
              <w:rPr>
                <w:rFonts w:ascii="宋体" w:hAnsi="宋体" w:cs="宋体"/>
                <w:kern w:val="0"/>
                <w:sz w:val="22"/>
                <w:szCs w:val="22"/>
              </w:rPr>
            </w:pPr>
          </w:p>
        </w:tc>
        <w:tc>
          <w:tcPr>
            <w:tcW w:w="1520" w:type="dxa"/>
            <w:noWrap/>
            <w:vAlign w:val="center"/>
          </w:tcPr>
          <w:p>
            <w:pPr>
              <w:widowControl/>
              <w:adjustRightInd w:val="0"/>
              <w:snapToGrid w:val="0"/>
              <w:spacing w:line="240" w:lineRule="atLeast"/>
              <w:jc w:val="center"/>
              <w:rPr>
                <w:rFonts w:ascii="宋体" w:hAnsi="宋体" w:cs="宋体"/>
                <w:kern w:val="0"/>
                <w:sz w:val="22"/>
                <w:szCs w:val="22"/>
              </w:rPr>
            </w:pPr>
          </w:p>
        </w:tc>
        <w:tc>
          <w:tcPr>
            <w:tcW w:w="1315" w:type="dxa"/>
            <w:noWrap/>
            <w:vAlign w:val="center"/>
          </w:tcPr>
          <w:p>
            <w:pPr>
              <w:widowControl/>
              <w:adjustRightInd w:val="0"/>
              <w:snapToGrid w:val="0"/>
              <w:spacing w:line="240" w:lineRule="atLeast"/>
              <w:jc w:val="center"/>
              <w:rPr>
                <w:rFonts w:ascii="宋体" w:hAnsi="宋体" w:cs="宋体"/>
                <w:kern w:val="0"/>
                <w:sz w:val="22"/>
                <w:szCs w:val="22"/>
              </w:rPr>
            </w:pPr>
          </w:p>
        </w:tc>
        <w:tc>
          <w:tcPr>
            <w:tcW w:w="1504" w:type="dxa"/>
            <w:noWrap w:val="0"/>
            <w:vAlign w:val="center"/>
          </w:tcPr>
          <w:p>
            <w:pPr>
              <w:widowControl/>
              <w:adjustRightInd w:val="0"/>
              <w:snapToGrid w:val="0"/>
              <w:spacing w:line="240" w:lineRule="atLeast"/>
              <w:jc w:val="center"/>
              <w:rPr>
                <w:rFonts w:ascii="宋体" w:hAnsi="宋体" w:cs="宋体"/>
                <w:kern w:val="0"/>
                <w:sz w:val="22"/>
                <w:szCs w:val="22"/>
              </w:rPr>
            </w:pPr>
          </w:p>
        </w:tc>
        <w:tc>
          <w:tcPr>
            <w:tcW w:w="1008" w:type="dxa"/>
            <w:noWrap/>
            <w:vAlign w:val="center"/>
          </w:tcPr>
          <w:p>
            <w:pPr>
              <w:widowControl/>
              <w:adjustRightInd w:val="0"/>
              <w:snapToGrid w:val="0"/>
              <w:spacing w:line="240" w:lineRule="atLeast"/>
              <w:jc w:val="center"/>
              <w:rPr>
                <w:rFonts w:ascii="宋体" w:hAnsi="宋体" w:cs="宋体"/>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0" w:type="dxa"/>
            <w:noWrap/>
            <w:vAlign w:val="center"/>
          </w:tcPr>
          <w:p>
            <w:pPr>
              <w:widowControl/>
              <w:adjustRightInd w:val="0"/>
              <w:snapToGrid w:val="0"/>
              <w:spacing w:line="240" w:lineRule="atLeast"/>
              <w:jc w:val="center"/>
              <w:rPr>
                <w:rFonts w:ascii="宋体" w:hAnsi="宋体" w:cs="宋体"/>
                <w:kern w:val="0"/>
                <w:sz w:val="22"/>
                <w:szCs w:val="22"/>
              </w:rPr>
            </w:pPr>
            <w:r>
              <w:rPr>
                <w:rFonts w:hint="eastAsia" w:ascii="宋体" w:hAnsi="宋体" w:cs="宋体"/>
                <w:kern w:val="0"/>
                <w:sz w:val="22"/>
                <w:szCs w:val="22"/>
              </w:rPr>
              <w:t>3</w:t>
            </w:r>
          </w:p>
        </w:tc>
        <w:tc>
          <w:tcPr>
            <w:tcW w:w="1205" w:type="dxa"/>
            <w:noWrap/>
            <w:vAlign w:val="center"/>
          </w:tcPr>
          <w:p>
            <w:pPr>
              <w:widowControl/>
              <w:adjustRightInd w:val="0"/>
              <w:snapToGrid w:val="0"/>
              <w:spacing w:line="240" w:lineRule="atLeast"/>
              <w:jc w:val="center"/>
              <w:rPr>
                <w:rFonts w:ascii="宋体" w:hAnsi="宋体" w:cs="宋体"/>
                <w:kern w:val="0"/>
                <w:sz w:val="22"/>
                <w:szCs w:val="22"/>
              </w:rPr>
            </w:pPr>
          </w:p>
        </w:tc>
        <w:tc>
          <w:tcPr>
            <w:tcW w:w="1275" w:type="dxa"/>
            <w:noWrap/>
            <w:vAlign w:val="center"/>
          </w:tcPr>
          <w:p>
            <w:pPr>
              <w:widowControl/>
              <w:adjustRightInd w:val="0"/>
              <w:snapToGrid w:val="0"/>
              <w:spacing w:line="240" w:lineRule="atLeast"/>
              <w:jc w:val="center"/>
              <w:rPr>
                <w:rFonts w:ascii="宋体" w:hAnsi="宋体" w:cs="宋体"/>
                <w:kern w:val="0"/>
                <w:sz w:val="22"/>
                <w:szCs w:val="22"/>
              </w:rPr>
            </w:pPr>
          </w:p>
        </w:tc>
        <w:tc>
          <w:tcPr>
            <w:tcW w:w="2835" w:type="dxa"/>
            <w:noWrap/>
            <w:vAlign w:val="center"/>
          </w:tcPr>
          <w:p>
            <w:pPr>
              <w:widowControl/>
              <w:adjustRightInd w:val="0"/>
              <w:snapToGrid w:val="0"/>
              <w:spacing w:line="240" w:lineRule="atLeast"/>
              <w:jc w:val="center"/>
              <w:rPr>
                <w:rFonts w:ascii="宋体" w:hAnsi="宋体" w:cs="宋体"/>
                <w:kern w:val="0"/>
                <w:sz w:val="22"/>
                <w:szCs w:val="22"/>
              </w:rPr>
            </w:pPr>
          </w:p>
        </w:tc>
        <w:tc>
          <w:tcPr>
            <w:tcW w:w="2287" w:type="dxa"/>
            <w:noWrap/>
            <w:vAlign w:val="center"/>
          </w:tcPr>
          <w:p>
            <w:pPr>
              <w:widowControl/>
              <w:adjustRightInd w:val="0"/>
              <w:snapToGrid w:val="0"/>
              <w:spacing w:line="240" w:lineRule="atLeast"/>
              <w:jc w:val="center"/>
              <w:rPr>
                <w:rFonts w:ascii="宋体" w:hAnsi="宋体" w:cs="宋体"/>
                <w:kern w:val="0"/>
                <w:sz w:val="22"/>
                <w:szCs w:val="22"/>
              </w:rPr>
            </w:pPr>
          </w:p>
        </w:tc>
        <w:tc>
          <w:tcPr>
            <w:tcW w:w="1520" w:type="dxa"/>
            <w:noWrap/>
            <w:vAlign w:val="center"/>
          </w:tcPr>
          <w:p>
            <w:pPr>
              <w:widowControl/>
              <w:adjustRightInd w:val="0"/>
              <w:snapToGrid w:val="0"/>
              <w:spacing w:line="240" w:lineRule="atLeast"/>
              <w:jc w:val="center"/>
              <w:rPr>
                <w:rFonts w:ascii="宋体" w:hAnsi="宋体" w:cs="宋体"/>
                <w:kern w:val="0"/>
                <w:sz w:val="22"/>
                <w:szCs w:val="22"/>
              </w:rPr>
            </w:pPr>
          </w:p>
        </w:tc>
        <w:tc>
          <w:tcPr>
            <w:tcW w:w="1315" w:type="dxa"/>
            <w:noWrap/>
            <w:vAlign w:val="center"/>
          </w:tcPr>
          <w:p>
            <w:pPr>
              <w:widowControl/>
              <w:adjustRightInd w:val="0"/>
              <w:snapToGrid w:val="0"/>
              <w:spacing w:line="240" w:lineRule="atLeast"/>
              <w:jc w:val="center"/>
              <w:rPr>
                <w:rFonts w:ascii="宋体" w:hAnsi="宋体" w:cs="宋体"/>
                <w:kern w:val="0"/>
                <w:sz w:val="22"/>
                <w:szCs w:val="22"/>
              </w:rPr>
            </w:pPr>
          </w:p>
        </w:tc>
        <w:tc>
          <w:tcPr>
            <w:tcW w:w="1504" w:type="dxa"/>
            <w:noWrap w:val="0"/>
            <w:vAlign w:val="center"/>
          </w:tcPr>
          <w:p>
            <w:pPr>
              <w:widowControl/>
              <w:adjustRightInd w:val="0"/>
              <w:snapToGrid w:val="0"/>
              <w:spacing w:line="240" w:lineRule="atLeast"/>
              <w:jc w:val="center"/>
              <w:rPr>
                <w:rFonts w:ascii="宋体" w:hAnsi="宋体" w:cs="宋体"/>
                <w:kern w:val="0"/>
                <w:sz w:val="22"/>
                <w:szCs w:val="22"/>
              </w:rPr>
            </w:pPr>
          </w:p>
        </w:tc>
        <w:tc>
          <w:tcPr>
            <w:tcW w:w="1008" w:type="dxa"/>
            <w:noWrap/>
            <w:vAlign w:val="center"/>
          </w:tcPr>
          <w:p>
            <w:pPr>
              <w:widowControl/>
              <w:adjustRightInd w:val="0"/>
              <w:snapToGrid w:val="0"/>
              <w:spacing w:line="240" w:lineRule="atLeast"/>
              <w:jc w:val="center"/>
              <w:rPr>
                <w:rFonts w:ascii="宋体" w:hAnsi="宋体" w:cs="宋体"/>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0" w:type="dxa"/>
            <w:noWrap/>
            <w:vAlign w:val="center"/>
          </w:tcPr>
          <w:p>
            <w:pPr>
              <w:widowControl/>
              <w:adjustRightInd w:val="0"/>
              <w:snapToGrid w:val="0"/>
              <w:spacing w:line="240" w:lineRule="atLeast"/>
              <w:jc w:val="center"/>
              <w:rPr>
                <w:rFonts w:ascii="宋体" w:hAnsi="宋体" w:cs="宋体"/>
                <w:kern w:val="0"/>
                <w:sz w:val="22"/>
                <w:szCs w:val="22"/>
              </w:rPr>
            </w:pPr>
            <w:r>
              <w:rPr>
                <w:rFonts w:hint="eastAsia" w:ascii="宋体" w:hAnsi="宋体" w:cs="宋体"/>
                <w:kern w:val="0"/>
                <w:sz w:val="22"/>
                <w:szCs w:val="22"/>
              </w:rPr>
              <w:t>4</w:t>
            </w:r>
          </w:p>
        </w:tc>
        <w:tc>
          <w:tcPr>
            <w:tcW w:w="1205" w:type="dxa"/>
            <w:noWrap/>
            <w:vAlign w:val="center"/>
          </w:tcPr>
          <w:p>
            <w:pPr>
              <w:widowControl/>
              <w:adjustRightInd w:val="0"/>
              <w:snapToGrid w:val="0"/>
              <w:spacing w:line="240" w:lineRule="atLeast"/>
              <w:jc w:val="center"/>
              <w:rPr>
                <w:rFonts w:ascii="宋体" w:hAnsi="宋体" w:cs="宋体"/>
                <w:kern w:val="0"/>
                <w:sz w:val="22"/>
                <w:szCs w:val="22"/>
              </w:rPr>
            </w:pPr>
          </w:p>
        </w:tc>
        <w:tc>
          <w:tcPr>
            <w:tcW w:w="1275" w:type="dxa"/>
            <w:noWrap/>
            <w:vAlign w:val="center"/>
          </w:tcPr>
          <w:p>
            <w:pPr>
              <w:widowControl/>
              <w:adjustRightInd w:val="0"/>
              <w:snapToGrid w:val="0"/>
              <w:spacing w:line="240" w:lineRule="atLeast"/>
              <w:jc w:val="center"/>
              <w:rPr>
                <w:rFonts w:ascii="宋体" w:hAnsi="宋体" w:cs="宋体"/>
                <w:kern w:val="0"/>
                <w:sz w:val="22"/>
                <w:szCs w:val="22"/>
              </w:rPr>
            </w:pPr>
          </w:p>
        </w:tc>
        <w:tc>
          <w:tcPr>
            <w:tcW w:w="2835" w:type="dxa"/>
            <w:noWrap/>
            <w:vAlign w:val="center"/>
          </w:tcPr>
          <w:p>
            <w:pPr>
              <w:widowControl/>
              <w:adjustRightInd w:val="0"/>
              <w:snapToGrid w:val="0"/>
              <w:spacing w:line="240" w:lineRule="atLeast"/>
              <w:jc w:val="center"/>
              <w:rPr>
                <w:rFonts w:ascii="宋体" w:hAnsi="宋体" w:cs="宋体"/>
                <w:kern w:val="0"/>
                <w:sz w:val="22"/>
                <w:szCs w:val="22"/>
              </w:rPr>
            </w:pPr>
          </w:p>
        </w:tc>
        <w:tc>
          <w:tcPr>
            <w:tcW w:w="2287" w:type="dxa"/>
            <w:noWrap/>
            <w:vAlign w:val="center"/>
          </w:tcPr>
          <w:p>
            <w:pPr>
              <w:widowControl/>
              <w:adjustRightInd w:val="0"/>
              <w:snapToGrid w:val="0"/>
              <w:spacing w:line="240" w:lineRule="atLeast"/>
              <w:jc w:val="center"/>
              <w:rPr>
                <w:rFonts w:ascii="宋体" w:hAnsi="宋体" w:cs="宋体"/>
                <w:kern w:val="0"/>
                <w:sz w:val="22"/>
                <w:szCs w:val="22"/>
              </w:rPr>
            </w:pPr>
          </w:p>
        </w:tc>
        <w:tc>
          <w:tcPr>
            <w:tcW w:w="1520" w:type="dxa"/>
            <w:noWrap/>
            <w:vAlign w:val="center"/>
          </w:tcPr>
          <w:p>
            <w:pPr>
              <w:widowControl/>
              <w:adjustRightInd w:val="0"/>
              <w:snapToGrid w:val="0"/>
              <w:spacing w:line="240" w:lineRule="atLeast"/>
              <w:jc w:val="center"/>
              <w:rPr>
                <w:rFonts w:ascii="宋体" w:hAnsi="宋体" w:cs="宋体"/>
                <w:kern w:val="0"/>
                <w:sz w:val="22"/>
                <w:szCs w:val="22"/>
              </w:rPr>
            </w:pPr>
          </w:p>
        </w:tc>
        <w:tc>
          <w:tcPr>
            <w:tcW w:w="1315" w:type="dxa"/>
            <w:noWrap/>
            <w:vAlign w:val="center"/>
          </w:tcPr>
          <w:p>
            <w:pPr>
              <w:widowControl/>
              <w:adjustRightInd w:val="0"/>
              <w:snapToGrid w:val="0"/>
              <w:spacing w:line="240" w:lineRule="atLeast"/>
              <w:jc w:val="center"/>
              <w:rPr>
                <w:rFonts w:ascii="宋体" w:hAnsi="宋体" w:cs="宋体"/>
                <w:kern w:val="0"/>
                <w:sz w:val="22"/>
                <w:szCs w:val="22"/>
              </w:rPr>
            </w:pPr>
          </w:p>
        </w:tc>
        <w:tc>
          <w:tcPr>
            <w:tcW w:w="1504" w:type="dxa"/>
            <w:noWrap w:val="0"/>
            <w:vAlign w:val="center"/>
          </w:tcPr>
          <w:p>
            <w:pPr>
              <w:widowControl/>
              <w:adjustRightInd w:val="0"/>
              <w:snapToGrid w:val="0"/>
              <w:spacing w:line="240" w:lineRule="atLeast"/>
              <w:jc w:val="center"/>
              <w:rPr>
                <w:rFonts w:ascii="宋体" w:hAnsi="宋体" w:cs="宋体"/>
                <w:kern w:val="0"/>
                <w:sz w:val="22"/>
                <w:szCs w:val="22"/>
              </w:rPr>
            </w:pPr>
          </w:p>
        </w:tc>
        <w:tc>
          <w:tcPr>
            <w:tcW w:w="1008" w:type="dxa"/>
            <w:noWrap/>
            <w:vAlign w:val="center"/>
          </w:tcPr>
          <w:p>
            <w:pPr>
              <w:widowControl/>
              <w:adjustRightInd w:val="0"/>
              <w:snapToGrid w:val="0"/>
              <w:spacing w:line="240" w:lineRule="atLeast"/>
              <w:jc w:val="center"/>
              <w:rPr>
                <w:rFonts w:ascii="宋体" w:hAnsi="宋体" w:cs="宋体"/>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1080" w:type="dxa"/>
            <w:noWrap/>
            <w:vAlign w:val="center"/>
          </w:tcPr>
          <w:p>
            <w:pPr>
              <w:widowControl/>
              <w:adjustRightInd w:val="0"/>
              <w:snapToGrid w:val="0"/>
              <w:spacing w:line="240" w:lineRule="atLeast"/>
              <w:jc w:val="center"/>
              <w:rPr>
                <w:rFonts w:ascii="宋体" w:hAnsi="宋体" w:cs="宋体"/>
                <w:kern w:val="0"/>
                <w:sz w:val="22"/>
                <w:szCs w:val="22"/>
              </w:rPr>
            </w:pPr>
            <w:r>
              <w:rPr>
                <w:rFonts w:hint="eastAsia" w:ascii="宋体" w:hAnsi="宋体" w:cs="宋体"/>
                <w:kern w:val="0"/>
                <w:sz w:val="22"/>
                <w:szCs w:val="22"/>
              </w:rPr>
              <w:t>5</w:t>
            </w:r>
          </w:p>
        </w:tc>
        <w:tc>
          <w:tcPr>
            <w:tcW w:w="1205" w:type="dxa"/>
            <w:noWrap/>
            <w:vAlign w:val="center"/>
          </w:tcPr>
          <w:p>
            <w:pPr>
              <w:widowControl/>
              <w:adjustRightInd w:val="0"/>
              <w:snapToGrid w:val="0"/>
              <w:spacing w:line="240" w:lineRule="atLeast"/>
              <w:jc w:val="center"/>
              <w:rPr>
                <w:rFonts w:ascii="宋体" w:hAnsi="宋体" w:cs="宋体"/>
                <w:kern w:val="0"/>
                <w:sz w:val="22"/>
                <w:szCs w:val="22"/>
              </w:rPr>
            </w:pPr>
          </w:p>
        </w:tc>
        <w:tc>
          <w:tcPr>
            <w:tcW w:w="1275" w:type="dxa"/>
            <w:noWrap/>
            <w:vAlign w:val="center"/>
          </w:tcPr>
          <w:p>
            <w:pPr>
              <w:widowControl/>
              <w:adjustRightInd w:val="0"/>
              <w:snapToGrid w:val="0"/>
              <w:spacing w:line="240" w:lineRule="atLeast"/>
              <w:jc w:val="center"/>
              <w:rPr>
                <w:rFonts w:ascii="宋体" w:hAnsi="宋体" w:cs="宋体"/>
                <w:kern w:val="0"/>
                <w:sz w:val="22"/>
                <w:szCs w:val="22"/>
              </w:rPr>
            </w:pPr>
          </w:p>
        </w:tc>
        <w:tc>
          <w:tcPr>
            <w:tcW w:w="2835" w:type="dxa"/>
            <w:noWrap/>
            <w:vAlign w:val="center"/>
          </w:tcPr>
          <w:p>
            <w:pPr>
              <w:widowControl/>
              <w:adjustRightInd w:val="0"/>
              <w:snapToGrid w:val="0"/>
              <w:spacing w:line="240" w:lineRule="atLeast"/>
              <w:jc w:val="center"/>
              <w:rPr>
                <w:rFonts w:ascii="宋体" w:hAnsi="宋体" w:cs="宋体"/>
                <w:kern w:val="0"/>
                <w:sz w:val="22"/>
                <w:szCs w:val="22"/>
              </w:rPr>
            </w:pPr>
          </w:p>
        </w:tc>
        <w:tc>
          <w:tcPr>
            <w:tcW w:w="2287" w:type="dxa"/>
            <w:noWrap/>
            <w:vAlign w:val="center"/>
          </w:tcPr>
          <w:p>
            <w:pPr>
              <w:widowControl/>
              <w:adjustRightInd w:val="0"/>
              <w:snapToGrid w:val="0"/>
              <w:spacing w:line="240" w:lineRule="atLeast"/>
              <w:jc w:val="center"/>
              <w:rPr>
                <w:rFonts w:ascii="宋体" w:hAnsi="宋体" w:cs="宋体"/>
                <w:kern w:val="0"/>
                <w:sz w:val="22"/>
                <w:szCs w:val="22"/>
              </w:rPr>
            </w:pPr>
          </w:p>
        </w:tc>
        <w:tc>
          <w:tcPr>
            <w:tcW w:w="1520" w:type="dxa"/>
            <w:noWrap/>
            <w:vAlign w:val="center"/>
          </w:tcPr>
          <w:p>
            <w:pPr>
              <w:widowControl/>
              <w:adjustRightInd w:val="0"/>
              <w:snapToGrid w:val="0"/>
              <w:spacing w:line="240" w:lineRule="atLeast"/>
              <w:jc w:val="center"/>
              <w:rPr>
                <w:rFonts w:ascii="宋体" w:hAnsi="宋体" w:cs="宋体"/>
                <w:kern w:val="0"/>
                <w:sz w:val="22"/>
                <w:szCs w:val="22"/>
              </w:rPr>
            </w:pPr>
          </w:p>
        </w:tc>
        <w:tc>
          <w:tcPr>
            <w:tcW w:w="1315" w:type="dxa"/>
            <w:noWrap/>
            <w:vAlign w:val="center"/>
          </w:tcPr>
          <w:p>
            <w:pPr>
              <w:widowControl/>
              <w:adjustRightInd w:val="0"/>
              <w:snapToGrid w:val="0"/>
              <w:spacing w:line="240" w:lineRule="atLeast"/>
              <w:jc w:val="center"/>
              <w:rPr>
                <w:rFonts w:ascii="宋体" w:hAnsi="宋体" w:cs="宋体"/>
                <w:kern w:val="0"/>
                <w:sz w:val="22"/>
                <w:szCs w:val="22"/>
              </w:rPr>
            </w:pPr>
          </w:p>
        </w:tc>
        <w:tc>
          <w:tcPr>
            <w:tcW w:w="1504" w:type="dxa"/>
            <w:noWrap w:val="0"/>
            <w:vAlign w:val="center"/>
          </w:tcPr>
          <w:p>
            <w:pPr>
              <w:widowControl/>
              <w:adjustRightInd w:val="0"/>
              <w:snapToGrid w:val="0"/>
              <w:spacing w:line="240" w:lineRule="atLeast"/>
              <w:jc w:val="center"/>
              <w:rPr>
                <w:rFonts w:ascii="宋体" w:hAnsi="宋体" w:cs="宋体"/>
                <w:kern w:val="0"/>
                <w:sz w:val="22"/>
                <w:szCs w:val="22"/>
              </w:rPr>
            </w:pPr>
          </w:p>
        </w:tc>
        <w:tc>
          <w:tcPr>
            <w:tcW w:w="1008" w:type="dxa"/>
            <w:noWrap/>
            <w:vAlign w:val="center"/>
          </w:tcPr>
          <w:p>
            <w:pPr>
              <w:widowControl/>
              <w:adjustRightInd w:val="0"/>
              <w:snapToGrid w:val="0"/>
              <w:spacing w:line="240" w:lineRule="atLeast"/>
              <w:jc w:val="center"/>
              <w:rPr>
                <w:rFonts w:ascii="宋体" w:hAnsi="宋体" w:cs="宋体"/>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0" w:type="dxa"/>
            <w:noWrap/>
            <w:vAlign w:val="center"/>
          </w:tcPr>
          <w:p>
            <w:pPr>
              <w:widowControl/>
              <w:adjustRightInd w:val="0"/>
              <w:snapToGrid w:val="0"/>
              <w:spacing w:line="240" w:lineRule="atLeast"/>
              <w:jc w:val="center"/>
              <w:rPr>
                <w:rFonts w:ascii="宋体" w:hAnsi="宋体" w:cs="宋体"/>
                <w:kern w:val="0"/>
                <w:sz w:val="22"/>
                <w:szCs w:val="22"/>
              </w:rPr>
            </w:pPr>
            <w:r>
              <w:rPr>
                <w:rFonts w:hint="eastAsia" w:ascii="宋体" w:hAnsi="宋体" w:cs="宋体"/>
                <w:kern w:val="0"/>
                <w:sz w:val="22"/>
                <w:szCs w:val="22"/>
              </w:rPr>
              <w:t>6</w:t>
            </w:r>
          </w:p>
        </w:tc>
        <w:tc>
          <w:tcPr>
            <w:tcW w:w="1205" w:type="dxa"/>
            <w:noWrap/>
            <w:vAlign w:val="center"/>
          </w:tcPr>
          <w:p>
            <w:pPr>
              <w:widowControl/>
              <w:adjustRightInd w:val="0"/>
              <w:snapToGrid w:val="0"/>
              <w:spacing w:line="240" w:lineRule="atLeast"/>
              <w:jc w:val="center"/>
              <w:rPr>
                <w:rFonts w:ascii="宋体" w:hAnsi="宋体" w:cs="宋体"/>
                <w:kern w:val="0"/>
                <w:sz w:val="22"/>
                <w:szCs w:val="22"/>
              </w:rPr>
            </w:pPr>
          </w:p>
        </w:tc>
        <w:tc>
          <w:tcPr>
            <w:tcW w:w="1275" w:type="dxa"/>
            <w:noWrap/>
            <w:vAlign w:val="center"/>
          </w:tcPr>
          <w:p>
            <w:pPr>
              <w:widowControl/>
              <w:adjustRightInd w:val="0"/>
              <w:snapToGrid w:val="0"/>
              <w:spacing w:line="240" w:lineRule="atLeast"/>
              <w:jc w:val="center"/>
              <w:rPr>
                <w:rFonts w:ascii="宋体" w:hAnsi="宋体" w:cs="宋体"/>
                <w:kern w:val="0"/>
                <w:sz w:val="22"/>
                <w:szCs w:val="22"/>
              </w:rPr>
            </w:pPr>
          </w:p>
        </w:tc>
        <w:tc>
          <w:tcPr>
            <w:tcW w:w="2835" w:type="dxa"/>
            <w:noWrap/>
            <w:vAlign w:val="center"/>
          </w:tcPr>
          <w:p>
            <w:pPr>
              <w:widowControl/>
              <w:adjustRightInd w:val="0"/>
              <w:snapToGrid w:val="0"/>
              <w:spacing w:line="240" w:lineRule="atLeast"/>
              <w:jc w:val="center"/>
              <w:rPr>
                <w:rFonts w:ascii="宋体" w:hAnsi="宋体" w:cs="宋体"/>
                <w:kern w:val="0"/>
                <w:sz w:val="22"/>
                <w:szCs w:val="22"/>
              </w:rPr>
            </w:pPr>
          </w:p>
        </w:tc>
        <w:tc>
          <w:tcPr>
            <w:tcW w:w="2287" w:type="dxa"/>
            <w:noWrap/>
            <w:vAlign w:val="center"/>
          </w:tcPr>
          <w:p>
            <w:pPr>
              <w:widowControl/>
              <w:adjustRightInd w:val="0"/>
              <w:snapToGrid w:val="0"/>
              <w:spacing w:line="240" w:lineRule="atLeast"/>
              <w:jc w:val="center"/>
              <w:rPr>
                <w:rFonts w:ascii="宋体" w:hAnsi="宋体" w:cs="宋体"/>
                <w:kern w:val="0"/>
                <w:sz w:val="22"/>
                <w:szCs w:val="22"/>
              </w:rPr>
            </w:pPr>
          </w:p>
        </w:tc>
        <w:tc>
          <w:tcPr>
            <w:tcW w:w="1520" w:type="dxa"/>
            <w:noWrap/>
            <w:vAlign w:val="center"/>
          </w:tcPr>
          <w:p>
            <w:pPr>
              <w:widowControl/>
              <w:adjustRightInd w:val="0"/>
              <w:snapToGrid w:val="0"/>
              <w:spacing w:line="240" w:lineRule="atLeast"/>
              <w:jc w:val="center"/>
              <w:rPr>
                <w:rFonts w:ascii="宋体" w:hAnsi="宋体" w:cs="宋体"/>
                <w:kern w:val="0"/>
                <w:sz w:val="22"/>
                <w:szCs w:val="22"/>
              </w:rPr>
            </w:pPr>
          </w:p>
        </w:tc>
        <w:tc>
          <w:tcPr>
            <w:tcW w:w="1315" w:type="dxa"/>
            <w:noWrap/>
            <w:vAlign w:val="center"/>
          </w:tcPr>
          <w:p>
            <w:pPr>
              <w:widowControl/>
              <w:adjustRightInd w:val="0"/>
              <w:snapToGrid w:val="0"/>
              <w:spacing w:line="240" w:lineRule="atLeast"/>
              <w:jc w:val="center"/>
              <w:rPr>
                <w:rFonts w:ascii="宋体" w:hAnsi="宋体" w:cs="宋体"/>
                <w:kern w:val="0"/>
                <w:sz w:val="22"/>
                <w:szCs w:val="22"/>
              </w:rPr>
            </w:pPr>
          </w:p>
        </w:tc>
        <w:tc>
          <w:tcPr>
            <w:tcW w:w="1504" w:type="dxa"/>
            <w:noWrap w:val="0"/>
            <w:vAlign w:val="center"/>
          </w:tcPr>
          <w:p>
            <w:pPr>
              <w:widowControl/>
              <w:adjustRightInd w:val="0"/>
              <w:snapToGrid w:val="0"/>
              <w:spacing w:line="240" w:lineRule="atLeast"/>
              <w:jc w:val="center"/>
              <w:rPr>
                <w:rFonts w:ascii="宋体" w:hAnsi="宋体" w:cs="宋体"/>
                <w:kern w:val="0"/>
                <w:sz w:val="22"/>
                <w:szCs w:val="22"/>
              </w:rPr>
            </w:pPr>
          </w:p>
        </w:tc>
        <w:tc>
          <w:tcPr>
            <w:tcW w:w="1008" w:type="dxa"/>
            <w:noWrap/>
            <w:vAlign w:val="center"/>
          </w:tcPr>
          <w:p>
            <w:pPr>
              <w:widowControl/>
              <w:adjustRightInd w:val="0"/>
              <w:snapToGrid w:val="0"/>
              <w:spacing w:line="240" w:lineRule="atLeast"/>
              <w:jc w:val="center"/>
              <w:rPr>
                <w:rFonts w:ascii="宋体" w:hAnsi="宋体" w:cs="宋体"/>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0" w:type="dxa"/>
            <w:noWrap/>
            <w:vAlign w:val="center"/>
          </w:tcPr>
          <w:p>
            <w:pPr>
              <w:widowControl/>
              <w:adjustRightInd w:val="0"/>
              <w:snapToGrid w:val="0"/>
              <w:spacing w:line="240" w:lineRule="atLeast"/>
              <w:jc w:val="center"/>
              <w:rPr>
                <w:rFonts w:ascii="宋体" w:hAnsi="宋体" w:cs="宋体"/>
                <w:kern w:val="0"/>
                <w:sz w:val="22"/>
                <w:szCs w:val="22"/>
              </w:rPr>
            </w:pPr>
            <w:r>
              <w:rPr>
                <w:rFonts w:hint="eastAsia" w:ascii="宋体" w:hAnsi="宋体" w:cs="宋体"/>
                <w:kern w:val="0"/>
                <w:sz w:val="22"/>
                <w:szCs w:val="22"/>
              </w:rPr>
              <w:t>7</w:t>
            </w:r>
          </w:p>
        </w:tc>
        <w:tc>
          <w:tcPr>
            <w:tcW w:w="1205" w:type="dxa"/>
            <w:noWrap/>
            <w:vAlign w:val="center"/>
          </w:tcPr>
          <w:p>
            <w:pPr>
              <w:widowControl/>
              <w:adjustRightInd w:val="0"/>
              <w:snapToGrid w:val="0"/>
              <w:spacing w:line="240" w:lineRule="atLeast"/>
              <w:jc w:val="center"/>
              <w:rPr>
                <w:rFonts w:ascii="宋体" w:hAnsi="宋体" w:cs="宋体"/>
                <w:kern w:val="0"/>
                <w:sz w:val="22"/>
                <w:szCs w:val="22"/>
              </w:rPr>
            </w:pPr>
          </w:p>
        </w:tc>
        <w:tc>
          <w:tcPr>
            <w:tcW w:w="1275" w:type="dxa"/>
            <w:noWrap/>
            <w:vAlign w:val="center"/>
          </w:tcPr>
          <w:p>
            <w:pPr>
              <w:widowControl/>
              <w:adjustRightInd w:val="0"/>
              <w:snapToGrid w:val="0"/>
              <w:spacing w:line="240" w:lineRule="atLeast"/>
              <w:jc w:val="center"/>
              <w:rPr>
                <w:rFonts w:ascii="宋体" w:hAnsi="宋体" w:cs="宋体"/>
                <w:kern w:val="0"/>
                <w:sz w:val="22"/>
                <w:szCs w:val="22"/>
              </w:rPr>
            </w:pPr>
          </w:p>
        </w:tc>
        <w:tc>
          <w:tcPr>
            <w:tcW w:w="2835" w:type="dxa"/>
            <w:noWrap/>
            <w:vAlign w:val="center"/>
          </w:tcPr>
          <w:p>
            <w:pPr>
              <w:widowControl/>
              <w:adjustRightInd w:val="0"/>
              <w:snapToGrid w:val="0"/>
              <w:spacing w:line="240" w:lineRule="atLeast"/>
              <w:jc w:val="center"/>
              <w:rPr>
                <w:rFonts w:ascii="宋体" w:hAnsi="宋体" w:cs="宋体"/>
                <w:kern w:val="0"/>
                <w:sz w:val="22"/>
                <w:szCs w:val="22"/>
              </w:rPr>
            </w:pPr>
          </w:p>
        </w:tc>
        <w:tc>
          <w:tcPr>
            <w:tcW w:w="2287" w:type="dxa"/>
            <w:noWrap/>
            <w:vAlign w:val="center"/>
          </w:tcPr>
          <w:p>
            <w:pPr>
              <w:widowControl/>
              <w:adjustRightInd w:val="0"/>
              <w:snapToGrid w:val="0"/>
              <w:spacing w:line="240" w:lineRule="atLeast"/>
              <w:jc w:val="center"/>
              <w:rPr>
                <w:rFonts w:ascii="宋体" w:hAnsi="宋体" w:cs="宋体"/>
                <w:kern w:val="0"/>
                <w:sz w:val="22"/>
                <w:szCs w:val="22"/>
              </w:rPr>
            </w:pPr>
          </w:p>
        </w:tc>
        <w:tc>
          <w:tcPr>
            <w:tcW w:w="1520" w:type="dxa"/>
            <w:noWrap/>
            <w:vAlign w:val="center"/>
          </w:tcPr>
          <w:p>
            <w:pPr>
              <w:widowControl/>
              <w:adjustRightInd w:val="0"/>
              <w:snapToGrid w:val="0"/>
              <w:spacing w:line="240" w:lineRule="atLeast"/>
              <w:jc w:val="center"/>
              <w:rPr>
                <w:rFonts w:ascii="宋体" w:hAnsi="宋体" w:cs="宋体"/>
                <w:kern w:val="0"/>
                <w:sz w:val="22"/>
                <w:szCs w:val="22"/>
              </w:rPr>
            </w:pPr>
          </w:p>
        </w:tc>
        <w:tc>
          <w:tcPr>
            <w:tcW w:w="1315" w:type="dxa"/>
            <w:noWrap/>
            <w:vAlign w:val="center"/>
          </w:tcPr>
          <w:p>
            <w:pPr>
              <w:widowControl/>
              <w:adjustRightInd w:val="0"/>
              <w:snapToGrid w:val="0"/>
              <w:spacing w:line="240" w:lineRule="atLeast"/>
              <w:jc w:val="center"/>
              <w:rPr>
                <w:rFonts w:ascii="宋体" w:hAnsi="宋体" w:cs="宋体"/>
                <w:kern w:val="0"/>
                <w:sz w:val="22"/>
                <w:szCs w:val="22"/>
              </w:rPr>
            </w:pPr>
          </w:p>
        </w:tc>
        <w:tc>
          <w:tcPr>
            <w:tcW w:w="1504" w:type="dxa"/>
            <w:noWrap w:val="0"/>
            <w:vAlign w:val="center"/>
          </w:tcPr>
          <w:p>
            <w:pPr>
              <w:widowControl/>
              <w:adjustRightInd w:val="0"/>
              <w:snapToGrid w:val="0"/>
              <w:spacing w:line="240" w:lineRule="atLeast"/>
              <w:jc w:val="center"/>
              <w:rPr>
                <w:rFonts w:ascii="宋体" w:hAnsi="宋体" w:cs="宋体"/>
                <w:kern w:val="0"/>
                <w:sz w:val="22"/>
                <w:szCs w:val="22"/>
              </w:rPr>
            </w:pPr>
          </w:p>
        </w:tc>
        <w:tc>
          <w:tcPr>
            <w:tcW w:w="1008" w:type="dxa"/>
            <w:noWrap/>
            <w:vAlign w:val="center"/>
          </w:tcPr>
          <w:p>
            <w:pPr>
              <w:widowControl/>
              <w:adjustRightInd w:val="0"/>
              <w:snapToGrid w:val="0"/>
              <w:spacing w:line="240" w:lineRule="atLeast"/>
              <w:jc w:val="center"/>
              <w:rPr>
                <w:rFonts w:ascii="宋体" w:hAnsi="宋体" w:cs="宋体"/>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0" w:type="dxa"/>
            <w:noWrap/>
            <w:vAlign w:val="center"/>
          </w:tcPr>
          <w:p>
            <w:pPr>
              <w:widowControl/>
              <w:adjustRightInd w:val="0"/>
              <w:snapToGrid w:val="0"/>
              <w:spacing w:line="240" w:lineRule="atLeast"/>
              <w:jc w:val="center"/>
              <w:rPr>
                <w:rFonts w:ascii="宋体" w:hAnsi="宋体" w:cs="宋体"/>
                <w:kern w:val="0"/>
                <w:sz w:val="22"/>
                <w:szCs w:val="22"/>
              </w:rPr>
            </w:pPr>
            <w:r>
              <w:rPr>
                <w:rFonts w:hint="eastAsia" w:ascii="宋体" w:hAnsi="宋体" w:cs="宋体"/>
                <w:kern w:val="0"/>
                <w:sz w:val="22"/>
                <w:szCs w:val="22"/>
              </w:rPr>
              <w:t>8</w:t>
            </w:r>
          </w:p>
        </w:tc>
        <w:tc>
          <w:tcPr>
            <w:tcW w:w="1205" w:type="dxa"/>
            <w:noWrap/>
            <w:vAlign w:val="center"/>
          </w:tcPr>
          <w:p>
            <w:pPr>
              <w:widowControl/>
              <w:adjustRightInd w:val="0"/>
              <w:snapToGrid w:val="0"/>
              <w:spacing w:line="240" w:lineRule="atLeast"/>
              <w:jc w:val="center"/>
              <w:rPr>
                <w:rFonts w:ascii="宋体" w:hAnsi="宋体" w:cs="宋体"/>
                <w:kern w:val="0"/>
                <w:sz w:val="22"/>
                <w:szCs w:val="22"/>
              </w:rPr>
            </w:pPr>
          </w:p>
        </w:tc>
        <w:tc>
          <w:tcPr>
            <w:tcW w:w="1275" w:type="dxa"/>
            <w:noWrap/>
            <w:vAlign w:val="center"/>
          </w:tcPr>
          <w:p>
            <w:pPr>
              <w:widowControl/>
              <w:adjustRightInd w:val="0"/>
              <w:snapToGrid w:val="0"/>
              <w:spacing w:line="240" w:lineRule="atLeast"/>
              <w:jc w:val="center"/>
              <w:rPr>
                <w:rFonts w:ascii="宋体" w:hAnsi="宋体" w:cs="宋体"/>
                <w:kern w:val="0"/>
                <w:sz w:val="22"/>
                <w:szCs w:val="22"/>
              </w:rPr>
            </w:pPr>
          </w:p>
        </w:tc>
        <w:tc>
          <w:tcPr>
            <w:tcW w:w="2835" w:type="dxa"/>
            <w:noWrap/>
            <w:vAlign w:val="center"/>
          </w:tcPr>
          <w:p>
            <w:pPr>
              <w:widowControl/>
              <w:adjustRightInd w:val="0"/>
              <w:snapToGrid w:val="0"/>
              <w:spacing w:line="240" w:lineRule="atLeast"/>
              <w:jc w:val="center"/>
              <w:rPr>
                <w:rFonts w:ascii="宋体" w:hAnsi="宋体" w:cs="宋体"/>
                <w:kern w:val="0"/>
                <w:sz w:val="22"/>
                <w:szCs w:val="22"/>
              </w:rPr>
            </w:pPr>
          </w:p>
        </w:tc>
        <w:tc>
          <w:tcPr>
            <w:tcW w:w="2287" w:type="dxa"/>
            <w:noWrap/>
            <w:vAlign w:val="center"/>
          </w:tcPr>
          <w:p>
            <w:pPr>
              <w:widowControl/>
              <w:adjustRightInd w:val="0"/>
              <w:snapToGrid w:val="0"/>
              <w:spacing w:line="240" w:lineRule="atLeast"/>
              <w:jc w:val="center"/>
              <w:rPr>
                <w:rFonts w:ascii="宋体" w:hAnsi="宋体" w:cs="宋体"/>
                <w:kern w:val="0"/>
                <w:sz w:val="22"/>
                <w:szCs w:val="22"/>
              </w:rPr>
            </w:pPr>
          </w:p>
        </w:tc>
        <w:tc>
          <w:tcPr>
            <w:tcW w:w="1520" w:type="dxa"/>
            <w:noWrap/>
            <w:vAlign w:val="center"/>
          </w:tcPr>
          <w:p>
            <w:pPr>
              <w:widowControl/>
              <w:adjustRightInd w:val="0"/>
              <w:snapToGrid w:val="0"/>
              <w:spacing w:line="240" w:lineRule="atLeast"/>
              <w:jc w:val="center"/>
              <w:rPr>
                <w:rFonts w:ascii="宋体" w:hAnsi="宋体" w:cs="宋体"/>
                <w:kern w:val="0"/>
                <w:sz w:val="22"/>
                <w:szCs w:val="22"/>
              </w:rPr>
            </w:pPr>
          </w:p>
        </w:tc>
        <w:tc>
          <w:tcPr>
            <w:tcW w:w="1315" w:type="dxa"/>
            <w:noWrap/>
            <w:vAlign w:val="center"/>
          </w:tcPr>
          <w:p>
            <w:pPr>
              <w:widowControl/>
              <w:adjustRightInd w:val="0"/>
              <w:snapToGrid w:val="0"/>
              <w:spacing w:line="240" w:lineRule="atLeast"/>
              <w:jc w:val="center"/>
              <w:rPr>
                <w:rFonts w:ascii="宋体" w:hAnsi="宋体" w:cs="宋体"/>
                <w:kern w:val="0"/>
                <w:sz w:val="22"/>
                <w:szCs w:val="22"/>
              </w:rPr>
            </w:pPr>
          </w:p>
        </w:tc>
        <w:tc>
          <w:tcPr>
            <w:tcW w:w="1504" w:type="dxa"/>
            <w:noWrap w:val="0"/>
            <w:vAlign w:val="center"/>
          </w:tcPr>
          <w:p>
            <w:pPr>
              <w:widowControl/>
              <w:adjustRightInd w:val="0"/>
              <w:snapToGrid w:val="0"/>
              <w:spacing w:line="240" w:lineRule="atLeast"/>
              <w:jc w:val="center"/>
              <w:rPr>
                <w:rFonts w:ascii="宋体" w:hAnsi="宋体" w:cs="宋体"/>
                <w:kern w:val="0"/>
                <w:sz w:val="22"/>
                <w:szCs w:val="22"/>
              </w:rPr>
            </w:pPr>
          </w:p>
        </w:tc>
        <w:tc>
          <w:tcPr>
            <w:tcW w:w="1008" w:type="dxa"/>
            <w:noWrap/>
            <w:vAlign w:val="center"/>
          </w:tcPr>
          <w:p>
            <w:pPr>
              <w:widowControl/>
              <w:adjustRightInd w:val="0"/>
              <w:snapToGrid w:val="0"/>
              <w:spacing w:line="240" w:lineRule="atLeast"/>
              <w:jc w:val="center"/>
              <w:rPr>
                <w:rFonts w:ascii="宋体" w:hAnsi="宋体" w:cs="宋体"/>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1080" w:type="dxa"/>
            <w:noWrap/>
            <w:vAlign w:val="center"/>
          </w:tcPr>
          <w:p>
            <w:pPr>
              <w:widowControl/>
              <w:adjustRightInd w:val="0"/>
              <w:snapToGrid w:val="0"/>
              <w:spacing w:line="240" w:lineRule="atLeast"/>
              <w:jc w:val="center"/>
              <w:rPr>
                <w:rFonts w:ascii="宋体" w:hAnsi="宋体" w:cs="宋体"/>
                <w:kern w:val="0"/>
                <w:sz w:val="22"/>
                <w:szCs w:val="22"/>
              </w:rPr>
            </w:pPr>
            <w:r>
              <w:rPr>
                <w:rFonts w:hint="eastAsia" w:ascii="宋体" w:hAnsi="宋体" w:cs="宋体"/>
                <w:kern w:val="0"/>
                <w:sz w:val="22"/>
                <w:szCs w:val="22"/>
              </w:rPr>
              <w:t>9</w:t>
            </w:r>
          </w:p>
        </w:tc>
        <w:tc>
          <w:tcPr>
            <w:tcW w:w="1205" w:type="dxa"/>
            <w:noWrap/>
            <w:vAlign w:val="center"/>
          </w:tcPr>
          <w:p>
            <w:pPr>
              <w:widowControl/>
              <w:adjustRightInd w:val="0"/>
              <w:snapToGrid w:val="0"/>
              <w:spacing w:line="240" w:lineRule="atLeast"/>
              <w:jc w:val="center"/>
              <w:rPr>
                <w:rFonts w:ascii="宋体" w:hAnsi="宋体" w:cs="宋体"/>
                <w:kern w:val="0"/>
                <w:sz w:val="22"/>
                <w:szCs w:val="22"/>
              </w:rPr>
            </w:pPr>
          </w:p>
        </w:tc>
        <w:tc>
          <w:tcPr>
            <w:tcW w:w="1275" w:type="dxa"/>
            <w:noWrap/>
            <w:vAlign w:val="center"/>
          </w:tcPr>
          <w:p>
            <w:pPr>
              <w:widowControl/>
              <w:adjustRightInd w:val="0"/>
              <w:snapToGrid w:val="0"/>
              <w:spacing w:line="240" w:lineRule="atLeast"/>
              <w:jc w:val="center"/>
              <w:rPr>
                <w:rFonts w:ascii="宋体" w:hAnsi="宋体" w:cs="宋体"/>
                <w:kern w:val="0"/>
                <w:sz w:val="22"/>
                <w:szCs w:val="22"/>
              </w:rPr>
            </w:pPr>
          </w:p>
        </w:tc>
        <w:tc>
          <w:tcPr>
            <w:tcW w:w="2835" w:type="dxa"/>
            <w:noWrap/>
            <w:vAlign w:val="center"/>
          </w:tcPr>
          <w:p>
            <w:pPr>
              <w:widowControl/>
              <w:adjustRightInd w:val="0"/>
              <w:snapToGrid w:val="0"/>
              <w:spacing w:line="240" w:lineRule="atLeast"/>
              <w:jc w:val="center"/>
              <w:rPr>
                <w:rFonts w:ascii="宋体" w:hAnsi="宋体" w:cs="宋体"/>
                <w:kern w:val="0"/>
                <w:sz w:val="22"/>
                <w:szCs w:val="22"/>
              </w:rPr>
            </w:pPr>
          </w:p>
        </w:tc>
        <w:tc>
          <w:tcPr>
            <w:tcW w:w="2287" w:type="dxa"/>
            <w:noWrap/>
            <w:vAlign w:val="center"/>
          </w:tcPr>
          <w:p>
            <w:pPr>
              <w:widowControl/>
              <w:adjustRightInd w:val="0"/>
              <w:snapToGrid w:val="0"/>
              <w:spacing w:line="240" w:lineRule="atLeast"/>
              <w:jc w:val="center"/>
              <w:rPr>
                <w:rFonts w:ascii="宋体" w:hAnsi="宋体" w:cs="宋体"/>
                <w:kern w:val="0"/>
                <w:sz w:val="22"/>
                <w:szCs w:val="22"/>
              </w:rPr>
            </w:pPr>
          </w:p>
        </w:tc>
        <w:tc>
          <w:tcPr>
            <w:tcW w:w="1520" w:type="dxa"/>
            <w:noWrap/>
            <w:vAlign w:val="center"/>
          </w:tcPr>
          <w:p>
            <w:pPr>
              <w:widowControl/>
              <w:adjustRightInd w:val="0"/>
              <w:snapToGrid w:val="0"/>
              <w:spacing w:line="240" w:lineRule="atLeast"/>
              <w:jc w:val="center"/>
              <w:rPr>
                <w:rFonts w:ascii="宋体" w:hAnsi="宋体" w:cs="宋体"/>
                <w:kern w:val="0"/>
                <w:sz w:val="22"/>
                <w:szCs w:val="22"/>
              </w:rPr>
            </w:pPr>
          </w:p>
        </w:tc>
        <w:tc>
          <w:tcPr>
            <w:tcW w:w="1315" w:type="dxa"/>
            <w:noWrap/>
            <w:vAlign w:val="center"/>
          </w:tcPr>
          <w:p>
            <w:pPr>
              <w:widowControl/>
              <w:adjustRightInd w:val="0"/>
              <w:snapToGrid w:val="0"/>
              <w:spacing w:line="240" w:lineRule="atLeast"/>
              <w:jc w:val="center"/>
              <w:rPr>
                <w:rFonts w:ascii="宋体" w:hAnsi="宋体" w:cs="宋体"/>
                <w:kern w:val="0"/>
                <w:sz w:val="22"/>
                <w:szCs w:val="22"/>
              </w:rPr>
            </w:pPr>
          </w:p>
        </w:tc>
        <w:tc>
          <w:tcPr>
            <w:tcW w:w="1504" w:type="dxa"/>
            <w:noWrap w:val="0"/>
            <w:vAlign w:val="center"/>
          </w:tcPr>
          <w:p>
            <w:pPr>
              <w:widowControl/>
              <w:adjustRightInd w:val="0"/>
              <w:snapToGrid w:val="0"/>
              <w:spacing w:line="240" w:lineRule="atLeast"/>
              <w:jc w:val="center"/>
              <w:rPr>
                <w:rFonts w:ascii="宋体" w:hAnsi="宋体" w:cs="宋体"/>
                <w:kern w:val="0"/>
                <w:sz w:val="22"/>
                <w:szCs w:val="22"/>
              </w:rPr>
            </w:pPr>
          </w:p>
        </w:tc>
        <w:tc>
          <w:tcPr>
            <w:tcW w:w="1008" w:type="dxa"/>
            <w:noWrap/>
            <w:vAlign w:val="center"/>
          </w:tcPr>
          <w:p>
            <w:pPr>
              <w:widowControl/>
              <w:adjustRightInd w:val="0"/>
              <w:snapToGrid w:val="0"/>
              <w:spacing w:line="240" w:lineRule="atLeast"/>
              <w:jc w:val="center"/>
              <w:rPr>
                <w:rFonts w:ascii="宋体" w:hAnsi="宋体" w:cs="宋体"/>
                <w:kern w:val="0"/>
                <w:sz w:val="22"/>
                <w:szCs w:val="22"/>
              </w:rPr>
            </w:pPr>
          </w:p>
        </w:tc>
      </w:tr>
    </w:tbl>
    <w:p>
      <w:pPr>
        <w:adjustRightInd w:val="0"/>
        <w:snapToGrid w:val="0"/>
        <w:spacing w:line="600" w:lineRule="atLeast"/>
        <w:ind w:firstLine="640"/>
        <w:jc w:val="left"/>
        <w:rPr>
          <w:rFonts w:ascii="仿宋_GB2312" w:hAnsi="宋体" w:eastAsia="仿宋_GB2312" w:cs="宋体"/>
          <w:sz w:val="32"/>
          <w:szCs w:val="32"/>
        </w:rPr>
      </w:pPr>
    </w:p>
    <w:p>
      <w:pPr>
        <w:adjustRightInd w:val="0"/>
        <w:snapToGrid w:val="0"/>
        <w:spacing w:line="600" w:lineRule="atLeast"/>
        <w:ind w:firstLine="880"/>
        <w:jc w:val="center"/>
        <w:rPr>
          <w:rFonts w:ascii="方正小标宋简体" w:hAnsi="Times New Roman" w:eastAsia="方正小标宋简体"/>
          <w:sz w:val="44"/>
          <w:szCs w:val="44"/>
        </w:rPr>
        <w:sectPr>
          <w:footerReference r:id="rId5" w:type="default"/>
          <w:pgSz w:w="16838" w:h="11906" w:orient="landscape"/>
          <w:pgMar w:top="1418" w:right="1418" w:bottom="1418" w:left="1418" w:header="340" w:footer="1021" w:gutter="0"/>
          <w:cols w:space="720" w:num="1"/>
          <w:docGrid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Times New Roman" w:hAnsi="Times New Roman"/>
        <w:sz w:val="24"/>
        <w:szCs w:val="24"/>
      </w:rPr>
    </w:pPr>
    <w:r>
      <w:rPr>
        <w:rStyle w:val="5"/>
        <w:rFonts w:hint="eastAsia" w:ascii="Times New Roman" w:hAnsi="Times New Roman"/>
        <w:sz w:val="24"/>
        <w:szCs w:val="24"/>
      </w:rPr>
      <w:t xml:space="preserve">— </w:t>
    </w:r>
    <w:r>
      <w:rPr>
        <w:rStyle w:val="5"/>
        <w:rFonts w:ascii="Times New Roman" w:hAnsi="Times New Roman"/>
        <w:sz w:val="24"/>
        <w:szCs w:val="24"/>
      </w:rPr>
      <w:fldChar w:fldCharType="begin"/>
    </w:r>
    <w:r>
      <w:rPr>
        <w:rStyle w:val="5"/>
        <w:rFonts w:ascii="Times New Roman" w:hAnsi="Times New Roman"/>
        <w:sz w:val="24"/>
        <w:szCs w:val="24"/>
      </w:rPr>
      <w:instrText xml:space="preserve">PAGE  </w:instrText>
    </w:r>
    <w:r>
      <w:rPr>
        <w:rStyle w:val="5"/>
        <w:rFonts w:ascii="Times New Roman" w:hAnsi="Times New Roman"/>
        <w:sz w:val="24"/>
        <w:szCs w:val="24"/>
      </w:rPr>
      <w:fldChar w:fldCharType="separate"/>
    </w:r>
    <w:r>
      <w:rPr>
        <w:rStyle w:val="5"/>
        <w:rFonts w:ascii="Times New Roman" w:hAnsi="Times New Roman"/>
        <w:sz w:val="24"/>
        <w:szCs w:val="24"/>
      </w:rPr>
      <w:t>2</w:t>
    </w:r>
    <w:r>
      <w:rPr>
        <w:rStyle w:val="5"/>
        <w:rFonts w:ascii="Times New Roman" w:hAnsi="Times New Roman"/>
        <w:sz w:val="24"/>
        <w:szCs w:val="24"/>
      </w:rPr>
      <w:fldChar w:fldCharType="end"/>
    </w:r>
    <w:r>
      <w:rPr>
        <w:rStyle w:val="5"/>
        <w:rFonts w:hint="eastAsia" w:ascii="Times New Roman" w:hAnsi="Times New Roman"/>
        <w:sz w:val="24"/>
        <w:szCs w:val="24"/>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hint="eastAsia" w:ascii="Times New Roman" w:hAnsi="Times New Roman"/>
        <w:sz w:val="24"/>
        <w:szCs w:val="24"/>
      </w:rPr>
    </w:pPr>
    <w:r>
      <w:rPr>
        <w:rStyle w:val="5"/>
        <w:rFonts w:hint="eastAsia" w:ascii="Times New Roman" w:hAnsi="Times New Roman"/>
        <w:sz w:val="24"/>
        <w:szCs w:val="24"/>
      </w:rPr>
      <w:t xml:space="preserve">— </w:t>
    </w:r>
    <w:r>
      <w:rPr>
        <w:rStyle w:val="5"/>
        <w:rFonts w:ascii="Times New Roman" w:hAnsi="Times New Roman"/>
        <w:sz w:val="24"/>
        <w:szCs w:val="24"/>
      </w:rPr>
      <w:fldChar w:fldCharType="begin"/>
    </w:r>
    <w:r>
      <w:rPr>
        <w:rStyle w:val="5"/>
        <w:rFonts w:ascii="Times New Roman" w:hAnsi="Times New Roman"/>
        <w:sz w:val="24"/>
        <w:szCs w:val="24"/>
      </w:rPr>
      <w:instrText xml:space="preserve">PAGE  </w:instrText>
    </w:r>
    <w:r>
      <w:rPr>
        <w:rStyle w:val="5"/>
        <w:rFonts w:ascii="Times New Roman" w:hAnsi="Times New Roman"/>
        <w:sz w:val="24"/>
        <w:szCs w:val="24"/>
      </w:rPr>
      <w:fldChar w:fldCharType="separate"/>
    </w:r>
    <w:r>
      <w:rPr>
        <w:rStyle w:val="5"/>
        <w:rFonts w:ascii="Times New Roman" w:hAnsi="Times New Roman"/>
        <w:sz w:val="24"/>
        <w:szCs w:val="24"/>
      </w:rPr>
      <w:t>33</w:t>
    </w:r>
    <w:r>
      <w:rPr>
        <w:rStyle w:val="5"/>
        <w:rFonts w:ascii="Times New Roman" w:hAnsi="Times New Roman"/>
        <w:sz w:val="24"/>
        <w:szCs w:val="24"/>
      </w:rPr>
      <w:fldChar w:fldCharType="end"/>
    </w:r>
    <w:r>
      <w:rPr>
        <w:rStyle w:val="5"/>
        <w:rFonts w:hint="eastAsia" w:ascii="Times New Roman" w:hAnsi="Times New Roman"/>
        <w:sz w:val="24"/>
        <w:szCs w:val="24"/>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A2E60"/>
    <w:rsid w:val="263A2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2021-06-08T11:10:00Z</dcterms:created>
  <dc:creator>松鼠喵huan</dc:creator>
  <cp:lastModifiedBy>松鼠喵huan</cp:lastModifiedBy>
  <dcterms:modified xsi:type="dcterms:W3CDTF">2021-06-08T11:13:40Z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B336F9C8DB304490937E9CD47CF838A6</vt:lpwstr>
  </property>
</Properties>
</file>