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i w:val="0"/>
          <w:color w:val="000000"/>
          <w:kern w:val="0"/>
          <w:sz w:val="32"/>
          <w:szCs w:val="32"/>
          <w:u w:val="none"/>
          <w:lang w:val="en-US" w:eastAsia="zh-CN" w:bidi="ar"/>
        </w:rPr>
      </w:pPr>
      <w:r>
        <w:rPr>
          <w:rFonts w:hint="default" w:ascii="Times New Roman" w:hAnsi="Times New Roman" w:eastAsia="黑体" w:cs="Times New Roman"/>
          <w:i w:val="0"/>
          <w:color w:val="000000"/>
          <w:kern w:val="0"/>
          <w:sz w:val="32"/>
          <w:szCs w:val="32"/>
          <w:u w:val="none"/>
          <w:lang w:val="en-US" w:eastAsia="zh-CN" w:bidi="ar"/>
        </w:rPr>
        <w:t>附件3</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i w:val="0"/>
          <w:color w:val="000000"/>
          <w:kern w:val="0"/>
          <w:sz w:val="32"/>
          <w:szCs w:val="32"/>
          <w:u w:val="none"/>
          <w:lang w:val="en-US" w:eastAsia="zh-CN" w:bidi="ar"/>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i w:val="0"/>
          <w:color w:val="000000"/>
          <w:kern w:val="0"/>
          <w:sz w:val="44"/>
          <w:szCs w:val="44"/>
          <w:u w:val="none"/>
          <w:lang w:val="en-US" w:eastAsia="zh-CN" w:bidi="ar"/>
        </w:rPr>
      </w:pPr>
      <w:r>
        <w:rPr>
          <w:rFonts w:hint="eastAsia" w:ascii="方正小标宋简体" w:hAnsi="方正小标宋简体" w:eastAsia="方正小标宋简体" w:cs="方正小标宋简体"/>
          <w:b w:val="0"/>
          <w:bCs/>
          <w:i w:val="0"/>
          <w:color w:val="000000"/>
          <w:kern w:val="0"/>
          <w:sz w:val="44"/>
          <w:szCs w:val="44"/>
          <w:u w:val="none"/>
          <w:lang w:val="en-US" w:eastAsia="zh-CN" w:bidi="ar"/>
        </w:rPr>
        <w:t>省级财政资金项目支出类绩效自评指标表</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i w:val="0"/>
          <w:color w:val="000000"/>
          <w:kern w:val="0"/>
          <w:sz w:val="44"/>
          <w:szCs w:val="44"/>
          <w:u w:val="none"/>
          <w:lang w:val="en-US" w:eastAsia="zh-CN" w:bidi="ar"/>
        </w:rPr>
      </w:pPr>
    </w:p>
    <w:tbl>
      <w:tblPr>
        <w:tblStyle w:val="6"/>
        <w:tblW w:w="14925" w:type="dxa"/>
        <w:tblInd w:w="-654" w:type="dxa"/>
        <w:tblLayout w:type="fixed"/>
        <w:tblCellMar>
          <w:top w:w="0" w:type="dxa"/>
          <w:left w:w="0" w:type="dxa"/>
          <w:bottom w:w="0" w:type="dxa"/>
          <w:right w:w="0" w:type="dxa"/>
        </w:tblCellMar>
      </w:tblPr>
      <w:tblGrid>
        <w:gridCol w:w="795"/>
        <w:gridCol w:w="870"/>
        <w:gridCol w:w="930"/>
        <w:gridCol w:w="840"/>
        <w:gridCol w:w="1065"/>
        <w:gridCol w:w="870"/>
        <w:gridCol w:w="1215"/>
        <w:gridCol w:w="945"/>
        <w:gridCol w:w="690"/>
        <w:gridCol w:w="6705"/>
      </w:tblGrid>
      <w:tr>
        <w:tblPrEx>
          <w:tblLayout w:type="fixed"/>
          <w:tblCellMar>
            <w:top w:w="0" w:type="dxa"/>
            <w:left w:w="0" w:type="dxa"/>
            <w:bottom w:w="0" w:type="dxa"/>
            <w:right w:w="0" w:type="dxa"/>
          </w:tblCellMar>
        </w:tblPrEx>
        <w:trPr>
          <w:trHeight w:val="23" w:hRule="atLeast"/>
        </w:trPr>
        <w:tc>
          <w:tcPr>
            <w:tcW w:w="7530" w:type="dxa"/>
            <w:gridSpan w:val="8"/>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评价指标</w:t>
            </w:r>
          </w:p>
        </w:tc>
        <w:tc>
          <w:tcPr>
            <w:tcW w:w="69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b/>
                <w:i w:val="0"/>
                <w:color w:val="000000"/>
                <w:kern w:val="0"/>
                <w:sz w:val="21"/>
                <w:szCs w:val="21"/>
                <w:u w:val="none"/>
                <w:lang w:val="en-US" w:eastAsia="zh-CN" w:bidi="ar"/>
              </w:rPr>
            </w:pPr>
            <w:r>
              <w:rPr>
                <w:rFonts w:hint="default" w:ascii="Times New Roman" w:hAnsi="Times New Roman" w:eastAsia="宋体" w:cs="Times New Roman"/>
                <w:b/>
                <w:i w:val="0"/>
                <w:color w:val="000000"/>
                <w:kern w:val="0"/>
                <w:sz w:val="21"/>
                <w:szCs w:val="21"/>
                <w:u w:val="none"/>
                <w:lang w:val="en-US" w:eastAsia="zh-CN" w:bidi="ar"/>
              </w:rPr>
              <w:t>自评</w:t>
            </w:r>
          </w:p>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b/>
                <w:i w:val="0"/>
                <w:color w:val="000000"/>
                <w:sz w:val="21"/>
                <w:szCs w:val="21"/>
                <w:u w:val="none"/>
              </w:rPr>
            </w:pPr>
            <w:r>
              <w:rPr>
                <w:rFonts w:hint="default" w:ascii="Times New Roman" w:hAnsi="Times New Roman" w:eastAsia="宋体" w:cs="Times New Roman"/>
                <w:b/>
                <w:i w:val="0"/>
                <w:color w:val="000000"/>
                <w:kern w:val="0"/>
                <w:sz w:val="21"/>
                <w:szCs w:val="21"/>
                <w:u w:val="none"/>
                <w:lang w:val="en-US" w:eastAsia="zh-CN" w:bidi="ar"/>
              </w:rPr>
              <w:t>得分</w:t>
            </w:r>
          </w:p>
        </w:tc>
        <w:tc>
          <w:tcPr>
            <w:tcW w:w="670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评分标准</w:t>
            </w:r>
          </w:p>
        </w:tc>
      </w:tr>
      <w:tr>
        <w:tblPrEx>
          <w:tblLayout w:type="fixed"/>
          <w:tblCellMar>
            <w:top w:w="0" w:type="dxa"/>
            <w:left w:w="0" w:type="dxa"/>
            <w:bottom w:w="0" w:type="dxa"/>
            <w:right w:w="0" w:type="dxa"/>
          </w:tblCellMar>
        </w:tblPrEx>
        <w:trPr>
          <w:trHeight w:val="23" w:hRule="atLeast"/>
        </w:trPr>
        <w:tc>
          <w:tcPr>
            <w:tcW w:w="1665" w:type="dxa"/>
            <w:gridSpan w:val="2"/>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一级指标</w:t>
            </w:r>
          </w:p>
        </w:tc>
        <w:tc>
          <w:tcPr>
            <w:tcW w:w="1770" w:type="dxa"/>
            <w:gridSpan w:val="2"/>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二级指标</w:t>
            </w:r>
          </w:p>
        </w:tc>
        <w:tc>
          <w:tcPr>
            <w:tcW w:w="1935" w:type="dxa"/>
            <w:gridSpan w:val="2"/>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三级指标</w:t>
            </w:r>
          </w:p>
        </w:tc>
        <w:tc>
          <w:tcPr>
            <w:tcW w:w="2160" w:type="dxa"/>
            <w:gridSpan w:val="2"/>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四级指标</w:t>
            </w:r>
          </w:p>
        </w:tc>
        <w:tc>
          <w:tcPr>
            <w:tcW w:w="69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b/>
                <w:i w:val="0"/>
                <w:color w:val="000000"/>
                <w:sz w:val="21"/>
                <w:szCs w:val="21"/>
                <w:u w:val="none"/>
              </w:rPr>
            </w:pPr>
          </w:p>
        </w:tc>
        <w:tc>
          <w:tcPr>
            <w:tcW w:w="670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r>
      <w:tr>
        <w:tblPrEx>
          <w:tblLayout w:type="fixed"/>
          <w:tblCellMar>
            <w:top w:w="0" w:type="dxa"/>
            <w:left w:w="0" w:type="dxa"/>
            <w:bottom w:w="0" w:type="dxa"/>
            <w:right w:w="0" w:type="dxa"/>
          </w:tblCellMar>
        </w:tblPrEx>
        <w:trPr>
          <w:trHeight w:val="23" w:hRule="atLeast"/>
        </w:trPr>
        <w:tc>
          <w:tcPr>
            <w:tcW w:w="795"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名称</w:t>
            </w:r>
          </w:p>
        </w:tc>
        <w:tc>
          <w:tcPr>
            <w:tcW w:w="870"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权重(%)</w:t>
            </w:r>
          </w:p>
        </w:tc>
        <w:tc>
          <w:tcPr>
            <w:tcW w:w="930"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名称</w:t>
            </w:r>
          </w:p>
        </w:tc>
        <w:tc>
          <w:tcPr>
            <w:tcW w:w="840"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权重(%)</w:t>
            </w:r>
          </w:p>
        </w:tc>
        <w:tc>
          <w:tcPr>
            <w:tcW w:w="106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名称</w:t>
            </w:r>
          </w:p>
        </w:tc>
        <w:tc>
          <w:tcPr>
            <w:tcW w:w="870"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权重(%)</w:t>
            </w:r>
          </w:p>
        </w:tc>
        <w:tc>
          <w:tcPr>
            <w:tcW w:w="121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名称</w:t>
            </w:r>
          </w:p>
        </w:tc>
        <w:tc>
          <w:tcPr>
            <w:tcW w:w="94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权重(%)</w:t>
            </w:r>
          </w:p>
        </w:tc>
        <w:tc>
          <w:tcPr>
            <w:tcW w:w="69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b/>
                <w:i w:val="0"/>
                <w:color w:val="000000"/>
                <w:sz w:val="21"/>
                <w:szCs w:val="21"/>
                <w:u w:val="none"/>
              </w:rPr>
            </w:pPr>
          </w:p>
        </w:tc>
        <w:tc>
          <w:tcPr>
            <w:tcW w:w="670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r>
      <w:tr>
        <w:tblPrEx>
          <w:tblLayout w:type="fixed"/>
          <w:tblCellMar>
            <w:top w:w="0" w:type="dxa"/>
            <w:left w:w="0" w:type="dxa"/>
            <w:bottom w:w="0" w:type="dxa"/>
            <w:right w:w="0" w:type="dxa"/>
          </w:tblCellMar>
        </w:tblPrEx>
        <w:trPr>
          <w:trHeight w:val="23" w:hRule="atLeast"/>
        </w:trPr>
        <w:tc>
          <w:tcPr>
            <w:tcW w:w="79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投入</w:t>
            </w:r>
          </w:p>
        </w:tc>
        <w:tc>
          <w:tcPr>
            <w:tcW w:w="87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20</w:t>
            </w:r>
          </w:p>
        </w:tc>
        <w:tc>
          <w:tcPr>
            <w:tcW w:w="93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项目立项</w:t>
            </w:r>
          </w:p>
        </w:tc>
        <w:tc>
          <w:tcPr>
            <w:tcW w:w="84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12</w:t>
            </w:r>
          </w:p>
        </w:tc>
        <w:tc>
          <w:tcPr>
            <w:tcW w:w="1065" w:type="dxa"/>
            <w:tcBorders>
              <w:top w:val="nil"/>
              <w:left w:val="nil"/>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论证</w:t>
            </w:r>
          </w:p>
        </w:tc>
        <w:tc>
          <w:tcPr>
            <w:tcW w:w="87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w:t>
            </w:r>
          </w:p>
        </w:tc>
        <w:tc>
          <w:tcPr>
            <w:tcW w:w="121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论证充分性</w:t>
            </w:r>
          </w:p>
        </w:tc>
        <w:tc>
          <w:tcPr>
            <w:tcW w:w="94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w:t>
            </w:r>
          </w:p>
        </w:tc>
        <w:tc>
          <w:tcPr>
            <w:tcW w:w="69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具有前期可行性研究报告或摸底调查工作总结等材料的,或经过集体会议协商、并咨询相关专家意见、且有文字材料的得4分。如无，则根据实际情况核定分数。</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决策</w:t>
            </w: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21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4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9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both"/>
              <w:rPr>
                <w:rFonts w:hint="default" w:ascii="Times New Roman" w:hAnsi="Times New Roman" w:eastAsia="宋体" w:cs="Times New Roman"/>
                <w:i w:val="0"/>
                <w:color w:val="000000"/>
                <w:sz w:val="21"/>
                <w:szCs w:val="21"/>
                <w:u w:val="none"/>
              </w:rPr>
            </w:pP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目标</w:t>
            </w:r>
          </w:p>
        </w:tc>
        <w:tc>
          <w:tcPr>
            <w:tcW w:w="87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w:t>
            </w:r>
          </w:p>
        </w:tc>
        <w:tc>
          <w:tcPr>
            <w:tcW w:w="121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完整性</w:t>
            </w:r>
          </w:p>
        </w:tc>
        <w:tc>
          <w:tcPr>
            <w:tcW w:w="94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690"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依据相关基础信息和证据判断目标设置的完整性，即是否包含总目标和阶段性目标，是否包括预期提供的公共产品或服务的产出数量、质量、成本指标，预期达到的效果性指标，据此核定分数。</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设置</w:t>
            </w: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21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合理性</w:t>
            </w:r>
          </w:p>
        </w:tc>
        <w:tc>
          <w:tcPr>
            <w:tcW w:w="94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690"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依据相关基础信息和证据判断目标设置的相关性，即绩效目标是否与资金或项目属性特点、支出内容相关，体现决策意图，同时合乎客观实际，据此核定分数。</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215"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可衡量性</w:t>
            </w:r>
          </w:p>
        </w:tc>
        <w:tc>
          <w:tcPr>
            <w:tcW w:w="945"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690"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依据相关基础信息和证据判断目标设置的可衡量性，即绩效目标设置是否有数据支撑、是否有可衡量性的产出和效果指标，据此核定分数。</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auto" w:sz="4"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auto" w:sz="4"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auto" w:sz="4"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auto" w:sz="4"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tcBorders>
              <w:top w:val="single" w:color="auto" w:sz="4" w:space="0"/>
              <w:left w:val="nil"/>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保障</w:t>
            </w:r>
          </w:p>
        </w:tc>
        <w:tc>
          <w:tcPr>
            <w:tcW w:w="870" w:type="dxa"/>
            <w:vMerge w:val="restart"/>
            <w:tcBorders>
              <w:top w:val="single" w:color="auto" w:sz="4"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1215" w:type="dxa"/>
            <w:tcBorders>
              <w:top w:val="single" w:color="auto" w:sz="4" w:space="0"/>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 制度完整性</w:t>
            </w:r>
          </w:p>
        </w:tc>
        <w:tc>
          <w:tcPr>
            <w:tcW w:w="945" w:type="dxa"/>
            <w:tcBorders>
              <w:top w:val="single" w:color="auto" w:sz="4" w:space="0"/>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690" w:type="dxa"/>
            <w:tcBorders>
              <w:top w:val="single" w:color="auto" w:sz="4" w:space="0"/>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tcBorders>
              <w:top w:val="single" w:color="auto" w:sz="4" w:space="0"/>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依据相关基础信息和证据判断制度完整性和是否具备条件实施，根据实际情况核定分数。</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措施</w:t>
            </w: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21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计划安排合理性</w:t>
            </w:r>
          </w:p>
        </w:tc>
        <w:tc>
          <w:tcPr>
            <w:tcW w:w="94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690"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依据工作进度计划等相关基础信息和证据判断，并根据实际情况核定分数。</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资金落实</w:t>
            </w:r>
          </w:p>
        </w:tc>
        <w:tc>
          <w:tcPr>
            <w:tcW w:w="84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8</w:t>
            </w:r>
          </w:p>
        </w:tc>
        <w:tc>
          <w:tcPr>
            <w:tcW w:w="1065" w:type="dxa"/>
            <w:tcBorders>
              <w:top w:val="nil"/>
              <w:left w:val="nil"/>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资金</w:t>
            </w:r>
          </w:p>
        </w:tc>
        <w:tc>
          <w:tcPr>
            <w:tcW w:w="87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w:t>
            </w:r>
          </w:p>
        </w:tc>
        <w:tc>
          <w:tcPr>
            <w:tcW w:w="121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资金到位率</w:t>
            </w:r>
          </w:p>
        </w:tc>
        <w:tc>
          <w:tcPr>
            <w:tcW w:w="94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w:t>
            </w:r>
          </w:p>
        </w:tc>
        <w:tc>
          <w:tcPr>
            <w:tcW w:w="69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tcBorders>
              <w:top w:val="nil"/>
              <w:left w:val="nil"/>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1.各类来源的资金足额到位的，得3分；</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到位</w:t>
            </w: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121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94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69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670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2.各类来源的资金未足额到位的，按实际到位金额/应到位金额*指标分值</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nil"/>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121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资金到位及时性</w:t>
            </w:r>
          </w:p>
        </w:tc>
        <w:tc>
          <w:tcPr>
            <w:tcW w:w="94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69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6705" w:type="dxa"/>
            <w:tcBorders>
              <w:top w:val="nil"/>
              <w:left w:val="nil"/>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1.各类来源的资金及时到位的，得2分；</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121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94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69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670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2.各类来源的资金未及时到位的，按实际及时到位的金额/应及时到位的金额*指标分值</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资金</w:t>
            </w:r>
          </w:p>
        </w:tc>
        <w:tc>
          <w:tcPr>
            <w:tcW w:w="87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w:t>
            </w:r>
          </w:p>
        </w:tc>
        <w:tc>
          <w:tcPr>
            <w:tcW w:w="121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资金分配合理性</w:t>
            </w:r>
          </w:p>
        </w:tc>
        <w:tc>
          <w:tcPr>
            <w:tcW w:w="94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w:t>
            </w:r>
          </w:p>
        </w:tc>
        <w:tc>
          <w:tcPr>
            <w:tcW w:w="69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670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依据相关信息和证据判断资金分配是否合理，是否有助于实现资金的绩效目标。</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分配</w:t>
            </w:r>
          </w:p>
        </w:tc>
        <w:tc>
          <w:tcPr>
            <w:tcW w:w="870" w:type="dxa"/>
            <w:vMerge w:val="continue"/>
            <w:tcBorders>
              <w:top w:val="single" w:color="000000" w:sz="8" w:space="0"/>
              <w:left w:val="single" w:color="000000" w:sz="8"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1215" w:type="dxa"/>
            <w:vMerge w:val="continue"/>
            <w:tcBorders>
              <w:top w:val="single" w:color="000000" w:sz="8" w:space="0"/>
              <w:left w:val="single" w:color="000000" w:sz="8"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945" w:type="dxa"/>
            <w:vMerge w:val="continue"/>
            <w:tcBorders>
              <w:top w:val="single" w:color="000000" w:sz="8" w:space="0"/>
              <w:left w:val="single" w:color="000000" w:sz="8"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690" w:type="dxa"/>
            <w:vMerge w:val="continue"/>
            <w:tcBorders>
              <w:top w:val="single" w:color="000000" w:sz="8" w:space="0"/>
              <w:left w:val="single" w:color="000000" w:sz="8"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6705" w:type="dxa"/>
            <w:vMerge w:val="continue"/>
            <w:tcBorders>
              <w:top w:val="single" w:color="000000" w:sz="8" w:space="0"/>
              <w:left w:val="single" w:color="000000" w:sz="8"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both"/>
              <w:rPr>
                <w:rFonts w:hint="default" w:ascii="Times New Roman" w:hAnsi="Times New Roman" w:eastAsia="宋体" w:cs="Times New Roman"/>
                <w:i w:val="0"/>
                <w:color w:val="000000"/>
                <w:sz w:val="21"/>
                <w:szCs w:val="21"/>
                <w:u w:val="none"/>
              </w:rPr>
            </w:pPr>
          </w:p>
        </w:tc>
      </w:tr>
      <w:tr>
        <w:tblPrEx>
          <w:tblLayout w:type="fixed"/>
          <w:tblCellMar>
            <w:top w:w="0" w:type="dxa"/>
            <w:left w:w="0" w:type="dxa"/>
            <w:bottom w:w="0" w:type="dxa"/>
            <w:right w:w="0" w:type="dxa"/>
          </w:tblCellMar>
        </w:tblPrEx>
        <w:trPr>
          <w:trHeight w:val="23" w:hRule="atLeast"/>
        </w:trPr>
        <w:tc>
          <w:tcPr>
            <w:tcW w:w="795" w:type="dxa"/>
            <w:vMerge w:val="restart"/>
            <w:tcBorders>
              <w:top w:val="single" w:color="auto" w:sz="4"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过程</w:t>
            </w:r>
          </w:p>
        </w:tc>
        <w:tc>
          <w:tcPr>
            <w:tcW w:w="870" w:type="dxa"/>
            <w:vMerge w:val="restart"/>
            <w:tcBorders>
              <w:top w:val="single" w:color="auto" w:sz="4"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20</w:t>
            </w:r>
          </w:p>
        </w:tc>
        <w:tc>
          <w:tcPr>
            <w:tcW w:w="930" w:type="dxa"/>
            <w:vMerge w:val="restart"/>
            <w:tcBorders>
              <w:top w:val="single" w:color="auto" w:sz="4"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资金管理</w:t>
            </w:r>
          </w:p>
        </w:tc>
        <w:tc>
          <w:tcPr>
            <w:tcW w:w="840" w:type="dxa"/>
            <w:vMerge w:val="restart"/>
            <w:tcBorders>
              <w:top w:val="single" w:color="auto" w:sz="4"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12</w:t>
            </w:r>
          </w:p>
        </w:tc>
        <w:tc>
          <w:tcPr>
            <w:tcW w:w="1065" w:type="dxa"/>
            <w:tcBorders>
              <w:top w:val="single" w:color="auto" w:sz="4" w:space="0"/>
              <w:left w:val="nil"/>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资金</w:t>
            </w:r>
          </w:p>
        </w:tc>
        <w:tc>
          <w:tcPr>
            <w:tcW w:w="870" w:type="dxa"/>
            <w:vMerge w:val="restart"/>
            <w:tcBorders>
              <w:top w:val="single" w:color="auto" w:sz="4"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w:t>
            </w:r>
          </w:p>
        </w:tc>
        <w:tc>
          <w:tcPr>
            <w:tcW w:w="1215" w:type="dxa"/>
            <w:vMerge w:val="restart"/>
            <w:tcBorders>
              <w:top w:val="single" w:color="auto" w:sz="4"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资金支出率</w:t>
            </w:r>
          </w:p>
        </w:tc>
        <w:tc>
          <w:tcPr>
            <w:tcW w:w="945" w:type="dxa"/>
            <w:vMerge w:val="restart"/>
            <w:tcBorders>
              <w:top w:val="single" w:color="auto" w:sz="4"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w:t>
            </w:r>
          </w:p>
        </w:tc>
        <w:tc>
          <w:tcPr>
            <w:tcW w:w="690" w:type="dxa"/>
            <w:vMerge w:val="restart"/>
            <w:tcBorders>
              <w:top w:val="single" w:color="auto" w:sz="4"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6705" w:type="dxa"/>
            <w:vMerge w:val="restart"/>
            <w:tcBorders>
              <w:top w:val="single" w:color="auto" w:sz="4"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主要依据“支付额/预算额度*100*指标权重”计算核定得分，同时综合考虑工作进度，以及是否垫资或履行支付手续而影响支出率等因素适当调整最后得分。</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支付</w:t>
            </w: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121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94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69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宋体" w:cs="Times New Roman"/>
                <w:i w:val="0"/>
                <w:color w:val="000000"/>
                <w:sz w:val="21"/>
                <w:szCs w:val="21"/>
                <w:u w:val="none"/>
              </w:rPr>
            </w:pPr>
          </w:p>
        </w:tc>
        <w:tc>
          <w:tcPr>
            <w:tcW w:w="670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both"/>
              <w:rPr>
                <w:rFonts w:hint="default" w:ascii="Times New Roman" w:hAnsi="Times New Roman" w:eastAsia="宋体" w:cs="Times New Roman"/>
                <w:i w:val="0"/>
                <w:color w:val="000000"/>
                <w:sz w:val="21"/>
                <w:szCs w:val="21"/>
                <w:u w:val="none"/>
              </w:rPr>
            </w:pP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支出规范性</w:t>
            </w:r>
          </w:p>
        </w:tc>
        <w:tc>
          <w:tcPr>
            <w:tcW w:w="870"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w:t>
            </w:r>
          </w:p>
        </w:tc>
        <w:tc>
          <w:tcPr>
            <w:tcW w:w="121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支出规范性</w:t>
            </w:r>
          </w:p>
        </w:tc>
        <w:tc>
          <w:tcPr>
            <w:tcW w:w="94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w:t>
            </w:r>
          </w:p>
        </w:tc>
        <w:tc>
          <w:tcPr>
            <w:tcW w:w="690"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color w:val="000000"/>
                <w:sz w:val="21"/>
                <w:szCs w:val="21"/>
                <w:u w:val="none"/>
              </w:rPr>
            </w:pPr>
          </w:p>
        </w:tc>
        <w:tc>
          <w:tcPr>
            <w:tcW w:w="670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预算执行规范性2分，按规定履行调整报批手续或未发生调整的，且按事项完成进度支付资金的得满分，否则酌情扣分。2.事项支出的合规性2分，资金管理、费用标准、支付符合有关制度规定的得满分，超范围、超标准支出，虚列支出，截留、挤占、挪用资金的，以及其他不符合制度规定支出的，视情节严重情况扣分，直至扣到0分。3.会计核算规范性2分，规范执行会计核算制度得满分，未按规定设专账核算，或支出凭证不符合规定，或其他核算不规范的，视具体情况扣分。</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事项管理</w:t>
            </w:r>
          </w:p>
        </w:tc>
        <w:tc>
          <w:tcPr>
            <w:tcW w:w="84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8</w:t>
            </w:r>
          </w:p>
        </w:tc>
        <w:tc>
          <w:tcPr>
            <w:tcW w:w="1065" w:type="dxa"/>
            <w:tcBorders>
              <w:top w:val="single" w:color="auto" w:sz="4" w:space="0"/>
              <w:left w:val="nil"/>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实施</w:t>
            </w:r>
          </w:p>
        </w:tc>
        <w:tc>
          <w:tcPr>
            <w:tcW w:w="87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w:t>
            </w:r>
          </w:p>
        </w:tc>
        <w:tc>
          <w:tcPr>
            <w:tcW w:w="121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程序规范性</w:t>
            </w:r>
          </w:p>
        </w:tc>
        <w:tc>
          <w:tcPr>
            <w:tcW w:w="94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w:t>
            </w:r>
          </w:p>
        </w:tc>
        <w:tc>
          <w:tcPr>
            <w:tcW w:w="69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项目或方案按规定程序实施,包括项目或方案调整按规定履行报批手续，项目招投标、建设、验收等或方案实施严格执行相关制度规定的，得满分，否则酌情扣分。</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程序</w:t>
            </w: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21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4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9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both"/>
              <w:rPr>
                <w:rFonts w:hint="default" w:ascii="Times New Roman" w:hAnsi="Times New Roman" w:eastAsia="宋体" w:cs="Times New Roman"/>
                <w:i w:val="0"/>
                <w:color w:val="000000"/>
                <w:sz w:val="21"/>
                <w:szCs w:val="21"/>
                <w:u w:val="none"/>
              </w:rPr>
            </w:pP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管理</w:t>
            </w:r>
          </w:p>
        </w:tc>
        <w:tc>
          <w:tcPr>
            <w:tcW w:w="87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w:t>
            </w:r>
          </w:p>
        </w:tc>
        <w:tc>
          <w:tcPr>
            <w:tcW w:w="121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监管有效性</w:t>
            </w:r>
          </w:p>
        </w:tc>
        <w:tc>
          <w:tcPr>
            <w:tcW w:w="94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w:t>
            </w:r>
          </w:p>
        </w:tc>
        <w:tc>
          <w:tcPr>
            <w:tcW w:w="69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tcBorders>
              <w:top w:val="nil"/>
              <w:left w:val="nil"/>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1.资金使用单位或基层资金管理单位建立有效管理机制，且执行情况良好得2分，具体根据所提供的信息证据作出判断并核定分数。</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情况</w:t>
            </w: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21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4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9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2.具体根据所提供的信息证据作出判断，如各级业务主管部门按规定对项目建设或方案实施开展有效的检查、监控、督促整改的，得2分；否则，视情况扣分。</w:t>
            </w:r>
          </w:p>
        </w:tc>
      </w:tr>
      <w:tr>
        <w:tblPrEx>
          <w:tblLayout w:type="fixed"/>
          <w:tblCellMar>
            <w:top w:w="0" w:type="dxa"/>
            <w:left w:w="0" w:type="dxa"/>
            <w:bottom w:w="0" w:type="dxa"/>
            <w:right w:w="0" w:type="dxa"/>
          </w:tblCellMar>
        </w:tblPrEx>
        <w:trPr>
          <w:trHeight w:val="23" w:hRule="atLeast"/>
        </w:trPr>
        <w:tc>
          <w:tcPr>
            <w:tcW w:w="79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产出</w:t>
            </w:r>
          </w:p>
        </w:tc>
        <w:tc>
          <w:tcPr>
            <w:tcW w:w="87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30</w:t>
            </w:r>
          </w:p>
        </w:tc>
        <w:tc>
          <w:tcPr>
            <w:tcW w:w="93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经济性</w:t>
            </w:r>
          </w:p>
        </w:tc>
        <w:tc>
          <w:tcPr>
            <w:tcW w:w="84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w:t>
            </w:r>
          </w:p>
        </w:tc>
        <w:tc>
          <w:tcPr>
            <w:tcW w:w="1065" w:type="dxa"/>
            <w:tcBorders>
              <w:top w:val="nil"/>
              <w:left w:val="nil"/>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预算</w:t>
            </w:r>
          </w:p>
        </w:tc>
        <w:tc>
          <w:tcPr>
            <w:tcW w:w="87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w:t>
            </w:r>
          </w:p>
        </w:tc>
        <w:tc>
          <w:tcPr>
            <w:tcW w:w="121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预算控制</w:t>
            </w:r>
          </w:p>
        </w:tc>
        <w:tc>
          <w:tcPr>
            <w:tcW w:w="94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w:t>
            </w:r>
          </w:p>
        </w:tc>
        <w:tc>
          <w:tcPr>
            <w:tcW w:w="69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Times New Roman" w:hAnsi="Times New Roman" w:eastAsia="宋体" w:cs="Times New Roman"/>
                <w:i w:val="0"/>
                <w:color w:val="000000"/>
                <w:sz w:val="21"/>
                <w:szCs w:val="21"/>
                <w:u w:val="none"/>
              </w:rPr>
            </w:pPr>
          </w:p>
        </w:tc>
        <w:tc>
          <w:tcPr>
            <w:tcW w:w="670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在预算执行进度与事项完成进度基本匹配的前提下，实际支出未超过预算计划的，得满分；实际支出超过预算的，或者支出未能保障事项相应完成进度的，酌情扣分。</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控制</w:t>
            </w: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Times New Roman" w:hAnsi="Times New Roman" w:eastAsia="宋体" w:cs="Times New Roman"/>
                <w:i w:val="0"/>
                <w:color w:val="000000"/>
                <w:sz w:val="21"/>
                <w:szCs w:val="21"/>
                <w:u w:val="none"/>
              </w:rPr>
            </w:pPr>
          </w:p>
        </w:tc>
        <w:tc>
          <w:tcPr>
            <w:tcW w:w="121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Times New Roman" w:hAnsi="Times New Roman" w:eastAsia="宋体" w:cs="Times New Roman"/>
                <w:i w:val="0"/>
                <w:color w:val="000000"/>
                <w:sz w:val="21"/>
                <w:szCs w:val="21"/>
                <w:u w:val="none"/>
              </w:rPr>
            </w:pPr>
          </w:p>
        </w:tc>
        <w:tc>
          <w:tcPr>
            <w:tcW w:w="94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Times New Roman" w:hAnsi="Times New Roman" w:eastAsia="宋体" w:cs="Times New Roman"/>
                <w:i w:val="0"/>
                <w:color w:val="000000"/>
                <w:sz w:val="21"/>
                <w:szCs w:val="21"/>
                <w:u w:val="none"/>
              </w:rPr>
            </w:pPr>
          </w:p>
        </w:tc>
        <w:tc>
          <w:tcPr>
            <w:tcW w:w="69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Times New Roman" w:hAnsi="Times New Roman" w:eastAsia="宋体" w:cs="Times New Roman"/>
                <w:i w:val="0"/>
                <w:color w:val="000000"/>
                <w:sz w:val="21"/>
                <w:szCs w:val="21"/>
                <w:u w:val="none"/>
              </w:rPr>
            </w:pPr>
          </w:p>
        </w:tc>
        <w:tc>
          <w:tcPr>
            <w:tcW w:w="670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both"/>
              <w:rPr>
                <w:rFonts w:hint="default" w:ascii="Times New Roman" w:hAnsi="Times New Roman" w:eastAsia="宋体" w:cs="Times New Roman"/>
                <w:i w:val="0"/>
                <w:color w:val="000000"/>
                <w:sz w:val="21"/>
                <w:szCs w:val="21"/>
                <w:u w:val="none"/>
              </w:rPr>
            </w:pP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成本</w:t>
            </w:r>
          </w:p>
        </w:tc>
        <w:tc>
          <w:tcPr>
            <w:tcW w:w="87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1215" w:type="dxa"/>
            <w:tcBorders>
              <w:top w:val="nil"/>
              <w:left w:val="nil"/>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成本节约</w:t>
            </w:r>
          </w:p>
        </w:tc>
        <w:tc>
          <w:tcPr>
            <w:tcW w:w="94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69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Times New Roman" w:hAnsi="Times New Roman" w:eastAsia="宋体" w:cs="Times New Roman"/>
                <w:i w:val="0"/>
                <w:color w:val="000000"/>
                <w:sz w:val="21"/>
                <w:szCs w:val="21"/>
                <w:u w:val="none"/>
              </w:rPr>
            </w:pPr>
          </w:p>
        </w:tc>
        <w:tc>
          <w:tcPr>
            <w:tcW w:w="670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在项目按照预算完成的前提下，与同类项目或市场价格比较，项目实施的成本（包括工程造价、物品采购单价、人员经费等）属于合理范围的（如与同类项目或市场价格大致相符的）得满分；成本不合理的（如明显高于或低于同类项目或市场价格的）酌情扣分。</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控制</w:t>
            </w: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Times New Roman" w:hAnsi="Times New Roman" w:eastAsia="宋体" w:cs="Times New Roman"/>
                <w:i w:val="0"/>
                <w:color w:val="000000"/>
                <w:sz w:val="21"/>
                <w:szCs w:val="21"/>
                <w:u w:val="none"/>
              </w:rPr>
            </w:pPr>
          </w:p>
        </w:tc>
        <w:tc>
          <w:tcPr>
            <w:tcW w:w="121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（成本指标）</w:t>
            </w:r>
          </w:p>
        </w:tc>
        <w:tc>
          <w:tcPr>
            <w:tcW w:w="94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Times New Roman" w:hAnsi="Times New Roman" w:eastAsia="宋体" w:cs="Times New Roman"/>
                <w:i w:val="0"/>
                <w:color w:val="000000"/>
                <w:sz w:val="21"/>
                <w:szCs w:val="21"/>
                <w:u w:val="none"/>
              </w:rPr>
            </w:pPr>
          </w:p>
        </w:tc>
        <w:tc>
          <w:tcPr>
            <w:tcW w:w="69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Times New Roman" w:hAnsi="Times New Roman" w:eastAsia="宋体" w:cs="Times New Roman"/>
                <w:i w:val="0"/>
                <w:color w:val="000000"/>
                <w:sz w:val="21"/>
                <w:szCs w:val="21"/>
                <w:u w:val="none"/>
              </w:rPr>
            </w:pPr>
          </w:p>
        </w:tc>
        <w:tc>
          <w:tcPr>
            <w:tcW w:w="670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both"/>
              <w:rPr>
                <w:rFonts w:hint="default" w:ascii="Times New Roman" w:hAnsi="Times New Roman" w:eastAsia="宋体" w:cs="Times New Roman"/>
                <w:i w:val="0"/>
                <w:color w:val="000000"/>
                <w:sz w:val="21"/>
                <w:szCs w:val="21"/>
                <w:u w:val="none"/>
              </w:rPr>
            </w:pP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效率性</w:t>
            </w:r>
          </w:p>
        </w:tc>
        <w:tc>
          <w:tcPr>
            <w:tcW w:w="84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25</w:t>
            </w:r>
          </w:p>
        </w:tc>
        <w:tc>
          <w:tcPr>
            <w:tcW w:w="106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完成进度</w:t>
            </w:r>
          </w:p>
        </w:tc>
        <w:tc>
          <w:tcPr>
            <w:tcW w:w="87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25</w:t>
            </w:r>
          </w:p>
        </w:tc>
        <w:tc>
          <w:tcPr>
            <w:tcW w:w="121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（数量指标）</w:t>
            </w:r>
          </w:p>
        </w:tc>
        <w:tc>
          <w:tcPr>
            <w:tcW w:w="94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25</w:t>
            </w:r>
          </w:p>
        </w:tc>
        <w:tc>
          <w:tcPr>
            <w:tcW w:w="69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Times New Roman" w:hAnsi="Times New Roman" w:eastAsia="宋体" w:cs="Times New Roman"/>
                <w:i w:val="0"/>
                <w:color w:val="000000"/>
                <w:sz w:val="21"/>
                <w:szCs w:val="21"/>
                <w:u w:val="none"/>
              </w:rPr>
            </w:pPr>
          </w:p>
        </w:tc>
        <w:tc>
          <w:tcPr>
            <w:tcW w:w="670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根据评价对象设置指标名称和分数权重，包括完成实际完成情况（数量指标）、及时性（时效指标）、质量达标（质量指标）情况等。</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21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（时效指标）</w:t>
            </w:r>
          </w:p>
        </w:tc>
        <w:tc>
          <w:tcPr>
            <w:tcW w:w="94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9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both"/>
              <w:rPr>
                <w:rFonts w:hint="default" w:ascii="Times New Roman" w:hAnsi="Times New Roman" w:eastAsia="宋体" w:cs="Times New Roman"/>
                <w:i w:val="0"/>
                <w:color w:val="000000"/>
                <w:sz w:val="21"/>
                <w:szCs w:val="21"/>
                <w:u w:val="none"/>
              </w:rPr>
            </w:pP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完成质量</w:t>
            </w: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215"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（质量指标）</w:t>
            </w:r>
          </w:p>
        </w:tc>
        <w:tc>
          <w:tcPr>
            <w:tcW w:w="94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9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both"/>
              <w:rPr>
                <w:rFonts w:hint="default" w:ascii="Times New Roman" w:hAnsi="Times New Roman" w:eastAsia="宋体" w:cs="Times New Roman"/>
                <w:i w:val="0"/>
                <w:color w:val="000000"/>
                <w:sz w:val="21"/>
                <w:szCs w:val="21"/>
                <w:u w:val="none"/>
              </w:rPr>
            </w:pPr>
          </w:p>
        </w:tc>
      </w:tr>
      <w:tr>
        <w:tblPrEx>
          <w:tblLayout w:type="fixed"/>
          <w:tblCellMar>
            <w:top w:w="0" w:type="dxa"/>
            <w:left w:w="0" w:type="dxa"/>
            <w:bottom w:w="0" w:type="dxa"/>
            <w:right w:w="0" w:type="dxa"/>
          </w:tblCellMar>
        </w:tblPrEx>
        <w:trPr>
          <w:trHeight w:val="23" w:hRule="atLeast"/>
        </w:trPr>
        <w:tc>
          <w:tcPr>
            <w:tcW w:w="795" w:type="dxa"/>
            <w:vMerge w:val="restart"/>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效益</w:t>
            </w:r>
          </w:p>
        </w:tc>
        <w:tc>
          <w:tcPr>
            <w:tcW w:w="870" w:type="dxa"/>
            <w:vMerge w:val="restart"/>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30</w:t>
            </w:r>
          </w:p>
        </w:tc>
        <w:tc>
          <w:tcPr>
            <w:tcW w:w="93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效果性</w:t>
            </w:r>
          </w:p>
        </w:tc>
        <w:tc>
          <w:tcPr>
            <w:tcW w:w="84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25</w:t>
            </w:r>
          </w:p>
        </w:tc>
        <w:tc>
          <w:tcPr>
            <w:tcW w:w="1065" w:type="dxa"/>
            <w:tcBorders>
              <w:top w:val="single" w:color="auto" w:sz="4" w:space="0"/>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经济效益</w:t>
            </w:r>
          </w:p>
        </w:tc>
        <w:tc>
          <w:tcPr>
            <w:tcW w:w="87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25</w:t>
            </w:r>
          </w:p>
        </w:tc>
        <w:tc>
          <w:tcPr>
            <w:tcW w:w="1215" w:type="dxa"/>
            <w:tcBorders>
              <w:top w:val="single" w:color="auto" w:sz="4" w:space="0"/>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（个性指标）</w:t>
            </w:r>
          </w:p>
        </w:tc>
        <w:tc>
          <w:tcPr>
            <w:tcW w:w="94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25</w:t>
            </w:r>
          </w:p>
        </w:tc>
        <w:tc>
          <w:tcPr>
            <w:tcW w:w="69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  根据评价对象选择效果性指标，并相应设置指标名称和分数权重。</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社会效益</w:t>
            </w: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21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（个性指标）</w:t>
            </w:r>
          </w:p>
        </w:tc>
        <w:tc>
          <w:tcPr>
            <w:tcW w:w="94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9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both"/>
              <w:rPr>
                <w:rFonts w:hint="default" w:ascii="Times New Roman" w:hAnsi="Times New Roman" w:eastAsia="宋体" w:cs="Times New Roman"/>
                <w:i w:val="0"/>
                <w:color w:val="000000"/>
                <w:sz w:val="21"/>
                <w:szCs w:val="21"/>
                <w:u w:val="none"/>
              </w:rPr>
            </w:pP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生态效益</w:t>
            </w: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21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（个性指标）</w:t>
            </w:r>
          </w:p>
        </w:tc>
        <w:tc>
          <w:tcPr>
            <w:tcW w:w="94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9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both"/>
              <w:rPr>
                <w:rFonts w:hint="default" w:ascii="Times New Roman" w:hAnsi="Times New Roman" w:eastAsia="宋体" w:cs="Times New Roman"/>
                <w:i w:val="0"/>
                <w:color w:val="000000"/>
                <w:sz w:val="21"/>
                <w:szCs w:val="21"/>
                <w:u w:val="none"/>
              </w:rPr>
            </w:pP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可持续发展</w:t>
            </w:r>
          </w:p>
        </w:tc>
        <w:tc>
          <w:tcPr>
            <w:tcW w:w="87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21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（个性指标）</w:t>
            </w:r>
          </w:p>
        </w:tc>
        <w:tc>
          <w:tcPr>
            <w:tcW w:w="945"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9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tcBorders>
              <w:top w:val="nil"/>
              <w:left w:val="nil"/>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  根据评价对象设置指标名称和分数权重。</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restart"/>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公平性</w:t>
            </w:r>
          </w:p>
        </w:tc>
        <w:tc>
          <w:tcPr>
            <w:tcW w:w="840" w:type="dxa"/>
            <w:vMerge w:val="restart"/>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w:t>
            </w:r>
          </w:p>
        </w:tc>
        <w:tc>
          <w:tcPr>
            <w:tcW w:w="1065" w:type="dxa"/>
            <w:vMerge w:val="restart"/>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满意度</w:t>
            </w:r>
          </w:p>
        </w:tc>
        <w:tc>
          <w:tcPr>
            <w:tcW w:w="870" w:type="dxa"/>
            <w:vMerge w:val="restart"/>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w:t>
            </w:r>
          </w:p>
        </w:tc>
        <w:tc>
          <w:tcPr>
            <w:tcW w:w="1215" w:type="dxa"/>
            <w:tcBorders>
              <w:top w:val="nil"/>
              <w:left w:val="nil"/>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服务对象</w:t>
            </w:r>
          </w:p>
        </w:tc>
        <w:tc>
          <w:tcPr>
            <w:tcW w:w="945" w:type="dxa"/>
            <w:vMerge w:val="restart"/>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w:t>
            </w:r>
          </w:p>
        </w:tc>
        <w:tc>
          <w:tcPr>
            <w:tcW w:w="690"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vMerge w:val="restart"/>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表示满意的服务对象数/项目覆盖范围内接受调查的对象总数*指标分值</w:t>
            </w:r>
          </w:p>
        </w:tc>
      </w:tr>
      <w:tr>
        <w:tblPrEx>
          <w:tblLayout w:type="fixed"/>
          <w:tblCellMar>
            <w:top w:w="0" w:type="dxa"/>
            <w:left w:w="0" w:type="dxa"/>
            <w:bottom w:w="0" w:type="dxa"/>
            <w:right w:w="0" w:type="dxa"/>
          </w:tblCellMar>
        </w:tblPrEx>
        <w:trPr>
          <w:trHeight w:val="23" w:hRule="atLeast"/>
        </w:trPr>
        <w:tc>
          <w:tcPr>
            <w:tcW w:w="795" w:type="dxa"/>
            <w:vMerge w:val="continue"/>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930" w:type="dxa"/>
            <w:vMerge w:val="continue"/>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40" w:type="dxa"/>
            <w:vMerge w:val="continue"/>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065" w:type="dxa"/>
            <w:vMerge w:val="continue"/>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870" w:type="dxa"/>
            <w:vMerge w:val="continue"/>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1215" w:type="dxa"/>
            <w:tcBorders>
              <w:top w:val="nil"/>
              <w:left w:val="nil"/>
              <w:bottom w:val="nil"/>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满意度</w:t>
            </w:r>
          </w:p>
        </w:tc>
        <w:tc>
          <w:tcPr>
            <w:tcW w:w="945" w:type="dxa"/>
            <w:vMerge w:val="continue"/>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90"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vMerge w:val="continue"/>
            <w:tcBorders>
              <w:top w:val="single" w:color="000000" w:sz="8" w:space="0"/>
              <w:left w:val="single" w:color="000000" w:sz="8" w:space="0"/>
              <w:bottom w:val="nil"/>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both"/>
              <w:rPr>
                <w:rFonts w:hint="default" w:ascii="Times New Roman" w:hAnsi="Times New Roman" w:eastAsia="宋体" w:cs="Times New Roman"/>
                <w:i w:val="0"/>
                <w:color w:val="000000"/>
                <w:sz w:val="21"/>
                <w:szCs w:val="21"/>
                <w:u w:val="none"/>
              </w:rPr>
            </w:pPr>
          </w:p>
        </w:tc>
      </w:tr>
      <w:tr>
        <w:tblPrEx>
          <w:tblLayout w:type="fixed"/>
          <w:tblCellMar>
            <w:top w:w="0" w:type="dxa"/>
            <w:left w:w="0" w:type="dxa"/>
            <w:bottom w:w="0" w:type="dxa"/>
            <w:right w:w="0" w:type="dxa"/>
          </w:tblCellMar>
        </w:tblPrEx>
        <w:trPr>
          <w:trHeight w:val="23" w:hRule="atLeast"/>
        </w:trPr>
        <w:tc>
          <w:tcPr>
            <w:tcW w:w="6585" w:type="dxa"/>
            <w:gridSpan w:val="7"/>
            <w:tcBorders>
              <w:top w:val="single" w:color="000000" w:sz="8" w:space="0"/>
              <w:left w:val="single" w:color="000000" w:sz="8" w:space="0"/>
              <w:bottom w:val="single" w:color="000000" w:sz="8"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b/>
                <w:i w:val="0"/>
                <w:color w:val="000000"/>
                <w:sz w:val="21"/>
                <w:szCs w:val="21"/>
                <w:u w:val="none"/>
              </w:rPr>
            </w:pPr>
            <w:r>
              <w:rPr>
                <w:rFonts w:hint="default" w:ascii="Times New Roman" w:hAnsi="Times New Roman" w:eastAsia="宋体" w:cs="Times New Roman"/>
                <w:b/>
                <w:i w:val="0"/>
                <w:color w:val="000000"/>
                <w:kern w:val="0"/>
                <w:sz w:val="21"/>
                <w:szCs w:val="21"/>
                <w:u w:val="none"/>
                <w:lang w:val="en-US" w:eastAsia="zh-CN" w:bidi="ar"/>
              </w:rPr>
              <w:t>合计</w:t>
            </w:r>
          </w:p>
        </w:tc>
        <w:tc>
          <w:tcPr>
            <w:tcW w:w="945" w:type="dxa"/>
            <w:tcBorders>
              <w:top w:val="single" w:color="000000" w:sz="8" w:space="0"/>
              <w:left w:val="single" w:color="000000" w:sz="4" w:space="0"/>
              <w:bottom w:val="single" w:color="000000" w:sz="8"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100</w:t>
            </w:r>
          </w:p>
        </w:tc>
        <w:tc>
          <w:tcPr>
            <w:tcW w:w="690" w:type="dxa"/>
            <w:tcBorders>
              <w:top w:val="single" w:color="000000" w:sz="8" w:space="0"/>
              <w:left w:val="single" w:color="000000" w:sz="4" w:space="0"/>
              <w:bottom w:val="single" w:color="000000" w:sz="8"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default" w:ascii="Times New Roman" w:hAnsi="Times New Roman" w:eastAsia="宋体" w:cs="Times New Roman"/>
                <w:i w:val="0"/>
                <w:color w:val="000000"/>
                <w:sz w:val="21"/>
                <w:szCs w:val="21"/>
                <w:u w:val="none"/>
              </w:rPr>
            </w:pPr>
          </w:p>
        </w:tc>
        <w:tc>
          <w:tcPr>
            <w:tcW w:w="6705" w:type="dxa"/>
            <w:tcBorders>
              <w:top w:val="single" w:color="000000" w:sz="8" w:space="0"/>
              <w:left w:val="single" w:color="000000" w:sz="4"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rPr>
                <w:rFonts w:hint="default" w:ascii="Times New Roman" w:hAnsi="Times New Roman" w:eastAsia="宋体" w:cs="Times New Roman"/>
                <w:i w:val="0"/>
                <w:color w:val="000000"/>
                <w:sz w:val="21"/>
                <w:szCs w:val="21"/>
                <w:u w:val="none"/>
              </w:rPr>
            </w:pPr>
          </w:p>
        </w:tc>
      </w:tr>
    </w:tbl>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szCs w:val="30"/>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szCs w:val="30"/>
        </w:rPr>
      </w:pPr>
    </w:p>
    <w:p>
      <w:bookmarkStart w:id="0" w:name="_GoBack"/>
      <w:bookmarkEnd w:id="0"/>
    </w:p>
    <w:sectPr>
      <w:pgSz w:w="16838" w:h="11906" w:orient="landscape"/>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F214D"/>
    <w:rsid w:val="4FEF214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2022-01-04T01:52:00Z</dcterms:created>
  <dc:creator>刘晓丽</dc:creator>
  <cp:lastModifiedBy>刘晓丽</cp:lastModifiedBy>
  <dcterms:modified xsi:type="dcterms:W3CDTF">2022-01-04T01:55:43Z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