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71B" w:rsidRDefault="00ED071B" w:rsidP="00ED071B">
      <w:pPr>
        <w:widowControl/>
        <w:spacing w:line="460" w:lineRule="exact"/>
        <w:jc w:val="lef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 xml:space="preserve">附件1 </w:t>
      </w:r>
      <w:bookmarkStart w:id="0" w:name="_GoBack"/>
      <w:bookmarkEnd w:id="0"/>
    </w:p>
    <w:p w:rsidR="00ED071B" w:rsidRDefault="00ED071B" w:rsidP="00ED071B">
      <w:pPr>
        <w:spacing w:line="460" w:lineRule="exact"/>
        <w:jc w:val="center"/>
        <w:rPr>
          <w:rFonts w:ascii="方正小标宋简体" w:eastAsia="方正小标宋简体" w:hAnsi="方正小标宋简体" w:cs="方正小标宋简体"/>
          <w:spacing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pacing w:val="0"/>
          <w:sz w:val="36"/>
          <w:szCs w:val="36"/>
        </w:rPr>
        <w:t>上海市2022年网络安全产业创新攻关目录</w:t>
      </w:r>
    </w:p>
    <w:p w:rsidR="00ED071B" w:rsidRDefault="00ED071B" w:rsidP="00ED071B">
      <w:pPr>
        <w:spacing w:line="460" w:lineRule="exact"/>
        <w:jc w:val="center"/>
        <w:rPr>
          <w:rFonts w:ascii="方正小标宋简体" w:eastAsia="方正小标宋简体" w:hAnsi="方正小标宋简体" w:cs="方正小标宋简体"/>
          <w:spacing w:val="0"/>
          <w:sz w:val="36"/>
          <w:szCs w:val="36"/>
        </w:rPr>
      </w:pPr>
    </w:p>
    <w:tbl>
      <w:tblPr>
        <w:tblStyle w:val="a3"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830"/>
        <w:gridCol w:w="850"/>
        <w:gridCol w:w="1292"/>
        <w:gridCol w:w="6272"/>
      </w:tblGrid>
      <w:tr w:rsidR="00ED071B" w:rsidTr="00015B13">
        <w:trPr>
          <w:trHeight w:val="90"/>
          <w:jc w:val="center"/>
        </w:trPr>
        <w:tc>
          <w:tcPr>
            <w:tcW w:w="830" w:type="dxa"/>
            <w:vAlign w:val="center"/>
          </w:tcPr>
          <w:p w:rsidR="00ED071B" w:rsidRDefault="00ED071B" w:rsidP="00015B13">
            <w:pPr>
              <w:suppressAutoHyphens/>
              <w:spacing w:line="300" w:lineRule="exact"/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  <w:szCs w:val="24"/>
              </w:rPr>
              <w:t>类别</w:t>
            </w:r>
          </w:p>
        </w:tc>
        <w:tc>
          <w:tcPr>
            <w:tcW w:w="850" w:type="dxa"/>
            <w:vAlign w:val="center"/>
          </w:tcPr>
          <w:p w:rsidR="00ED071B" w:rsidRDefault="00ED071B" w:rsidP="00015B13">
            <w:pPr>
              <w:suppressAutoHyphens/>
              <w:spacing w:line="300" w:lineRule="exact"/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292" w:type="dxa"/>
            <w:vAlign w:val="center"/>
          </w:tcPr>
          <w:p w:rsidR="00ED071B" w:rsidRDefault="00ED071B" w:rsidP="00015B13">
            <w:pPr>
              <w:suppressAutoHyphens/>
              <w:spacing w:line="300" w:lineRule="exact"/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  <w:szCs w:val="24"/>
              </w:rPr>
              <w:t>攻关方向</w:t>
            </w:r>
          </w:p>
        </w:tc>
        <w:tc>
          <w:tcPr>
            <w:tcW w:w="6272" w:type="dxa"/>
            <w:vAlign w:val="center"/>
          </w:tcPr>
          <w:p w:rsidR="00ED071B" w:rsidRDefault="00ED071B" w:rsidP="00015B13">
            <w:pPr>
              <w:suppressAutoHyphens/>
              <w:spacing w:line="300" w:lineRule="exact"/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  <w:szCs w:val="24"/>
              </w:rPr>
              <w:t>内容简述</w:t>
            </w:r>
          </w:p>
        </w:tc>
      </w:tr>
      <w:tr w:rsidR="00ED071B" w:rsidTr="00015B13">
        <w:trPr>
          <w:jc w:val="center"/>
        </w:trPr>
        <w:tc>
          <w:tcPr>
            <w:tcW w:w="830" w:type="dxa"/>
            <w:vMerge w:val="restart"/>
            <w:vAlign w:val="center"/>
          </w:tcPr>
          <w:p w:rsidR="00ED071B" w:rsidRDefault="00ED071B" w:rsidP="00015B13">
            <w:pPr>
              <w:suppressAutoHyphens/>
              <w:spacing w:line="28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基础技术创新</w:t>
            </w:r>
          </w:p>
        </w:tc>
        <w:tc>
          <w:tcPr>
            <w:tcW w:w="850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1</w:t>
            </w:r>
          </w:p>
        </w:tc>
        <w:tc>
          <w:tcPr>
            <w:tcW w:w="1292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隐私计算</w:t>
            </w:r>
          </w:p>
        </w:tc>
        <w:tc>
          <w:tcPr>
            <w:tcW w:w="6272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ind w:firstLineChars="200" w:firstLine="468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针对数据资产作为生产要素带来的隐私计算和安全保障需求，构建体系化的隐私计算及安全保障架构，包括（但不限于）隐私计算模型框架、隐私保护场景适应的密码体系应用、隐私控制与抗大数据分析的隐私保护技术、数据敏感性量化、恶意收集数据行为检测和准确溯源、基于信息隐藏的隐私保护技术以及支持高并发的隐私保护服务架构、场景动态适应的隐私动态度量与隐私保护效果评估技术等。有效解决数字化转型下数据安全问题。</w:t>
            </w:r>
          </w:p>
        </w:tc>
      </w:tr>
      <w:tr w:rsidR="00ED071B" w:rsidTr="00015B13">
        <w:trPr>
          <w:jc w:val="center"/>
        </w:trPr>
        <w:tc>
          <w:tcPr>
            <w:tcW w:w="830" w:type="dxa"/>
            <w:vMerge/>
            <w:vAlign w:val="center"/>
          </w:tcPr>
          <w:p w:rsidR="00ED071B" w:rsidRDefault="00ED071B" w:rsidP="00015B13">
            <w:pPr>
              <w:suppressAutoHyphens/>
              <w:spacing w:line="280" w:lineRule="exact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2</w:t>
            </w:r>
          </w:p>
        </w:tc>
        <w:tc>
          <w:tcPr>
            <w:tcW w:w="1292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新一代数字身份认证</w:t>
            </w:r>
          </w:p>
        </w:tc>
        <w:tc>
          <w:tcPr>
            <w:tcW w:w="6272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ind w:firstLineChars="200" w:firstLine="468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针对万物智能互联时代数字身份管理需求，构建新一代数字身份认证技术，包括（但不限于）器件级硬件指纹技术、低功耗密码技术及应用、多场景适用的物联网安全通信协议、云和边缘计算多维适配的可信身份安全计算环境，面向万物智能互联的数字身份安全体系和数字信任体系等。有效应对万物智能互联时代数字身份管理存在的设备数量巨大、智能硬件算力参差不齐、基础计算架构碎片化、身份仿冒和伪造泛滥等安全挑战。</w:t>
            </w:r>
          </w:p>
        </w:tc>
      </w:tr>
      <w:tr w:rsidR="00ED071B" w:rsidTr="00015B13">
        <w:trPr>
          <w:jc w:val="center"/>
        </w:trPr>
        <w:tc>
          <w:tcPr>
            <w:tcW w:w="830" w:type="dxa"/>
            <w:vMerge/>
            <w:vAlign w:val="center"/>
          </w:tcPr>
          <w:p w:rsidR="00ED071B" w:rsidRDefault="00ED071B" w:rsidP="00015B13">
            <w:pPr>
              <w:suppressAutoHyphens/>
              <w:spacing w:line="280" w:lineRule="exact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3</w:t>
            </w:r>
          </w:p>
        </w:tc>
        <w:tc>
          <w:tcPr>
            <w:tcW w:w="1292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人工智能安全</w:t>
            </w:r>
          </w:p>
        </w:tc>
        <w:tc>
          <w:tcPr>
            <w:tcW w:w="6272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ind w:firstLineChars="200" w:firstLine="468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针对人工智能应用的新型网络攻击检测和防护需求，构建基于人工智能的安全评估与防御技术能力，包括（但不限于）动态可扩展的网络安全大脑、网络攻击的智能检测与效果研判、漏洞智能化挖掘、基于人工智能模型的脆弱性分析。有效应对人工智能时代网络攻击趋于智能化、大规模网络攻击频繁、网络攻击隐蔽性提高等问题。</w:t>
            </w:r>
          </w:p>
        </w:tc>
      </w:tr>
      <w:tr w:rsidR="00ED071B" w:rsidTr="00015B13">
        <w:trPr>
          <w:jc w:val="center"/>
        </w:trPr>
        <w:tc>
          <w:tcPr>
            <w:tcW w:w="830" w:type="dxa"/>
            <w:vMerge/>
            <w:vAlign w:val="center"/>
          </w:tcPr>
          <w:p w:rsidR="00ED071B" w:rsidRDefault="00ED071B" w:rsidP="00015B13">
            <w:pPr>
              <w:suppressAutoHyphens/>
              <w:spacing w:line="280" w:lineRule="exact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4</w:t>
            </w:r>
          </w:p>
        </w:tc>
        <w:tc>
          <w:tcPr>
            <w:tcW w:w="1292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软件供应链安全</w:t>
            </w:r>
          </w:p>
        </w:tc>
        <w:tc>
          <w:tcPr>
            <w:tcW w:w="6272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ind w:firstLineChars="200" w:firstLine="468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针对软件供应链安全风险加剧和“安全左移”需求，构建开发安全解决方案，包括利用自动化、智能化、平台化技术，实现安全、开发和运营流程融合，以及对软件开发、开源软件、源代码等进行全面安全检测及防护的安全技术体系，例如</w:t>
            </w:r>
            <w:proofErr w:type="spellStart"/>
            <w:r>
              <w:rPr>
                <w:rFonts w:ascii="仿宋_GB2312" w:hAnsi="仿宋_GB2312" w:cs="仿宋_GB2312" w:hint="eastAsia"/>
                <w:sz w:val="24"/>
                <w:szCs w:val="24"/>
              </w:rPr>
              <w:t>DevSecOps</w:t>
            </w:r>
            <w:proofErr w:type="spellEnd"/>
            <w:r>
              <w:rPr>
                <w:rFonts w:ascii="仿宋_GB2312" w:hAnsi="仿宋_GB2312" w:cs="仿宋_GB2312" w:hint="eastAsia"/>
                <w:sz w:val="24"/>
                <w:szCs w:val="24"/>
              </w:rPr>
              <w:t>安全解决方案、软件成分分析、应用安全测试、源代码安全、代码风险平台等技术、产品和服务。</w:t>
            </w:r>
          </w:p>
        </w:tc>
      </w:tr>
      <w:tr w:rsidR="00ED071B" w:rsidTr="00015B13">
        <w:trPr>
          <w:jc w:val="center"/>
        </w:trPr>
        <w:tc>
          <w:tcPr>
            <w:tcW w:w="830" w:type="dxa"/>
            <w:vMerge/>
            <w:vAlign w:val="center"/>
          </w:tcPr>
          <w:p w:rsidR="00ED071B" w:rsidRDefault="00ED071B" w:rsidP="00015B13">
            <w:pPr>
              <w:suppressAutoHyphens/>
              <w:spacing w:line="280" w:lineRule="exact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5</w:t>
            </w:r>
          </w:p>
        </w:tc>
        <w:tc>
          <w:tcPr>
            <w:tcW w:w="1292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云原生安全</w:t>
            </w:r>
          </w:p>
        </w:tc>
        <w:tc>
          <w:tcPr>
            <w:tcW w:w="6272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ind w:firstLineChars="200" w:firstLine="468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针对云原生发展趋势，构建云原生的安全能力，包括容器安全、微服务安全、微隔离等类型的技术和产品。还包括利用云原生赋能安全，构建采用云原生架构，提供新的部署模式的安全技术体系。</w:t>
            </w:r>
          </w:p>
        </w:tc>
      </w:tr>
      <w:tr w:rsidR="00ED071B" w:rsidTr="00015B13">
        <w:trPr>
          <w:jc w:val="center"/>
        </w:trPr>
        <w:tc>
          <w:tcPr>
            <w:tcW w:w="830" w:type="dxa"/>
            <w:vMerge/>
            <w:vAlign w:val="center"/>
          </w:tcPr>
          <w:p w:rsidR="00ED071B" w:rsidRDefault="00ED071B" w:rsidP="00015B13">
            <w:pPr>
              <w:suppressAutoHyphens/>
              <w:spacing w:line="280" w:lineRule="exact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6</w:t>
            </w:r>
          </w:p>
        </w:tc>
        <w:tc>
          <w:tcPr>
            <w:tcW w:w="1292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安全访问服务边缘（SASE）</w:t>
            </w:r>
          </w:p>
        </w:tc>
        <w:tc>
          <w:tcPr>
            <w:tcW w:w="6272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ind w:firstLineChars="200" w:firstLine="468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面向云计算技术不断发展和企业上云需求增加，基于云计算的新架构理念，将网络与安全能力通过分布式云进行交付，构建解决多分支场景下的企业网络互联及安全问题的安全技术体系，支持身份驱动的网络和安全策略、云原生架构，支持所有边缘，包括物理位置、云数据中心、用户的移动设备和边缘计算等。</w:t>
            </w:r>
          </w:p>
        </w:tc>
      </w:tr>
      <w:tr w:rsidR="00ED071B" w:rsidTr="00015B13">
        <w:trPr>
          <w:jc w:val="center"/>
        </w:trPr>
        <w:tc>
          <w:tcPr>
            <w:tcW w:w="830" w:type="dxa"/>
            <w:vMerge/>
            <w:vAlign w:val="center"/>
          </w:tcPr>
          <w:p w:rsidR="00ED071B" w:rsidRDefault="00ED071B" w:rsidP="00015B13">
            <w:pPr>
              <w:suppressAutoHyphens/>
              <w:spacing w:line="280" w:lineRule="exact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7</w:t>
            </w:r>
          </w:p>
        </w:tc>
        <w:tc>
          <w:tcPr>
            <w:tcW w:w="1292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API安全</w:t>
            </w:r>
          </w:p>
        </w:tc>
        <w:tc>
          <w:tcPr>
            <w:tcW w:w="6272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ind w:firstLineChars="200" w:firstLine="468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针对普遍的API安全防护需求，构建围绕 API 的设计、开发、测试、运行和下线等阶段的API 安全管理技术方案，包括基于云、大数据、人工智能和行为分析的API安全防护和威胁检测类平台、API安全开发类平台等。</w:t>
            </w:r>
          </w:p>
        </w:tc>
      </w:tr>
      <w:tr w:rsidR="00ED071B" w:rsidTr="00015B13">
        <w:trPr>
          <w:jc w:val="center"/>
        </w:trPr>
        <w:tc>
          <w:tcPr>
            <w:tcW w:w="830" w:type="dxa"/>
            <w:vMerge w:val="restart"/>
            <w:vAlign w:val="center"/>
          </w:tcPr>
          <w:p w:rsidR="00ED071B" w:rsidRDefault="00ED071B" w:rsidP="00015B13">
            <w:pPr>
              <w:suppressAutoHyphens/>
              <w:spacing w:line="28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lastRenderedPageBreak/>
              <w:t>应用技术创新</w:t>
            </w:r>
          </w:p>
        </w:tc>
        <w:tc>
          <w:tcPr>
            <w:tcW w:w="850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8</w:t>
            </w:r>
          </w:p>
        </w:tc>
        <w:tc>
          <w:tcPr>
            <w:tcW w:w="1292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虚实融合安全</w:t>
            </w:r>
          </w:p>
        </w:tc>
        <w:tc>
          <w:tcPr>
            <w:tcW w:w="6272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ind w:firstLineChars="200" w:firstLine="468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针对AR、VR、MR等扩展现实技术，构建防范AR欺骗、数据泄露、AR拒绝服务、VR操纵、窃取网络凭据、中间人攻击、勒索软件、假身份等安全风险的防御技术体系。聚焦区块链底层架构，构建针对共识机制、秘钥、智能合约等的安全技术方案，包括（但不限于）形式化验证、加密算法、安全审计等，有效支撑虚实融合应用。</w:t>
            </w:r>
          </w:p>
        </w:tc>
      </w:tr>
      <w:tr w:rsidR="00ED071B" w:rsidTr="00015B13">
        <w:trPr>
          <w:jc w:val="center"/>
        </w:trPr>
        <w:tc>
          <w:tcPr>
            <w:tcW w:w="830" w:type="dxa"/>
            <w:vMerge/>
            <w:vAlign w:val="center"/>
          </w:tcPr>
          <w:p w:rsidR="00ED071B" w:rsidRDefault="00ED071B" w:rsidP="00015B13">
            <w:pPr>
              <w:suppressAutoHyphens/>
              <w:spacing w:line="28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9</w:t>
            </w:r>
          </w:p>
        </w:tc>
        <w:tc>
          <w:tcPr>
            <w:tcW w:w="1292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数据流通安全</w:t>
            </w:r>
          </w:p>
        </w:tc>
        <w:tc>
          <w:tcPr>
            <w:tcW w:w="6272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ind w:firstLineChars="200" w:firstLine="458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pacing w:val="-11"/>
                <w:sz w:val="24"/>
                <w:szCs w:val="24"/>
              </w:rPr>
              <w:t>面向互联网、政务、金融、大数据等重点行业数据流通需求，构建安全合规的数据流通体系，包括（但不限于）安全多方计算、区块链、联邦学习、可信执行环境、开源代码供应链安全等技术。实现海量数据在开放流通环境下的安全和隐私，有效支撑数据要素市场的构建。</w:t>
            </w:r>
          </w:p>
        </w:tc>
      </w:tr>
      <w:tr w:rsidR="00ED071B" w:rsidTr="00015B13">
        <w:trPr>
          <w:jc w:val="center"/>
        </w:trPr>
        <w:tc>
          <w:tcPr>
            <w:tcW w:w="830" w:type="dxa"/>
            <w:vMerge/>
            <w:vAlign w:val="center"/>
          </w:tcPr>
          <w:p w:rsidR="00ED071B" w:rsidRDefault="00ED071B" w:rsidP="00015B13">
            <w:pPr>
              <w:suppressAutoHyphens/>
              <w:spacing w:line="280" w:lineRule="exact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10</w:t>
            </w:r>
          </w:p>
        </w:tc>
        <w:tc>
          <w:tcPr>
            <w:tcW w:w="1292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智能工控安全</w:t>
            </w:r>
          </w:p>
        </w:tc>
        <w:tc>
          <w:tcPr>
            <w:tcW w:w="6272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ind w:firstLineChars="200" w:firstLine="468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针对各类工业企业数字化、网络化和智能化发展需求，构建“5G+AI+工业互联网”下的智能工控安全技术能力，包括（但不限于）工业云平台可信安全环境、安全工业通信协议、工业控制系统漏洞发现与态势感知、CPS供应链安全体系等。有效保障传统产业数字化转型安全。</w:t>
            </w:r>
          </w:p>
        </w:tc>
      </w:tr>
      <w:tr w:rsidR="00ED071B" w:rsidTr="00015B13">
        <w:trPr>
          <w:jc w:val="center"/>
        </w:trPr>
        <w:tc>
          <w:tcPr>
            <w:tcW w:w="830" w:type="dxa"/>
            <w:vMerge/>
            <w:vAlign w:val="center"/>
          </w:tcPr>
          <w:p w:rsidR="00ED071B" w:rsidRDefault="00ED071B" w:rsidP="00015B13">
            <w:pPr>
              <w:suppressAutoHyphens/>
              <w:spacing w:line="280" w:lineRule="exact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11</w:t>
            </w:r>
          </w:p>
        </w:tc>
        <w:tc>
          <w:tcPr>
            <w:tcW w:w="1292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智能汽车安全</w:t>
            </w:r>
          </w:p>
        </w:tc>
        <w:tc>
          <w:tcPr>
            <w:tcW w:w="6272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ind w:firstLineChars="200" w:firstLine="468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针对智能网联汽车发展的安全需求，构建融合终端安全、通讯安全、数据安全的专业化和轻量级的安全技术体系，包括（但不限于）传感器异常数据识别技术、CAN总线认证加密技术、车载IDPS技术、V2X通信安全防护技术、车联网移动APP安全防护与检测技术等。全面护航智能网联汽车产业的创新发展。</w:t>
            </w:r>
          </w:p>
        </w:tc>
      </w:tr>
      <w:tr w:rsidR="00ED071B" w:rsidTr="00015B13">
        <w:trPr>
          <w:jc w:val="center"/>
        </w:trPr>
        <w:tc>
          <w:tcPr>
            <w:tcW w:w="830" w:type="dxa"/>
            <w:vMerge/>
            <w:vAlign w:val="center"/>
          </w:tcPr>
          <w:p w:rsidR="00ED071B" w:rsidRDefault="00ED071B" w:rsidP="00015B13">
            <w:pPr>
              <w:suppressAutoHyphens/>
              <w:spacing w:line="280" w:lineRule="exact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12</w:t>
            </w:r>
          </w:p>
        </w:tc>
        <w:tc>
          <w:tcPr>
            <w:tcW w:w="1292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金融科技安全</w:t>
            </w:r>
          </w:p>
        </w:tc>
        <w:tc>
          <w:tcPr>
            <w:tcW w:w="6272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ind w:firstLineChars="200" w:firstLine="458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pacing w:val="-11"/>
                <w:sz w:val="24"/>
                <w:szCs w:val="24"/>
              </w:rPr>
              <w:t>针对金融科技发展中的各类安全风险，构建促进金融业务创新发展、满足合规监管需要的安全技术体系，包括（但不限于）区块链安全技术、数字货币安全技术、数字反欺诈技术、数据取证技术、金融创新监管沙箱技术等。</w:t>
            </w:r>
          </w:p>
        </w:tc>
      </w:tr>
      <w:tr w:rsidR="00ED071B" w:rsidTr="00015B13">
        <w:trPr>
          <w:jc w:val="center"/>
        </w:trPr>
        <w:tc>
          <w:tcPr>
            <w:tcW w:w="830" w:type="dxa"/>
            <w:vMerge w:val="restart"/>
            <w:vAlign w:val="center"/>
          </w:tcPr>
          <w:p w:rsidR="00ED071B" w:rsidRDefault="00ED071B" w:rsidP="00015B13">
            <w:pPr>
              <w:suppressAutoHyphens/>
              <w:spacing w:line="28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服务业态创新</w:t>
            </w:r>
          </w:p>
        </w:tc>
        <w:tc>
          <w:tcPr>
            <w:tcW w:w="850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13</w:t>
            </w:r>
          </w:p>
        </w:tc>
        <w:tc>
          <w:tcPr>
            <w:tcW w:w="1292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网络安全保险</w:t>
            </w:r>
          </w:p>
        </w:tc>
        <w:tc>
          <w:tcPr>
            <w:tcW w:w="6272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ind w:firstLineChars="200" w:firstLine="468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面向各类组织对冲网络安全残余风险所需的保险工具和服务需求，推动网络安全技术产品的高质量和广覆盖，包括针对不同业态的网络安全保险解决方案，以及面向网络安全保险业态的新型网络安全产品服务。</w:t>
            </w:r>
          </w:p>
        </w:tc>
      </w:tr>
      <w:tr w:rsidR="00ED071B" w:rsidTr="00015B13">
        <w:trPr>
          <w:jc w:val="center"/>
        </w:trPr>
        <w:tc>
          <w:tcPr>
            <w:tcW w:w="830" w:type="dxa"/>
            <w:vMerge/>
            <w:vAlign w:val="center"/>
          </w:tcPr>
          <w:p w:rsidR="00ED071B" w:rsidRDefault="00ED071B" w:rsidP="00015B13">
            <w:pPr>
              <w:suppressAutoHyphens/>
              <w:spacing w:line="28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14</w:t>
            </w:r>
          </w:p>
        </w:tc>
        <w:tc>
          <w:tcPr>
            <w:tcW w:w="1292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安全运营服务（MSS）</w:t>
            </w:r>
          </w:p>
        </w:tc>
        <w:tc>
          <w:tcPr>
            <w:tcW w:w="6272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ind w:firstLineChars="200" w:firstLine="468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针对数字化时代的网络安全新需求，以提升实战化安全能力为目标，基于智能化的安全运营技术，提供创新性的安全运营服务能力，包括资产监测、安全事件响应、威胁情报服务、威胁检测和响应、漏洞管理服务等。</w:t>
            </w:r>
          </w:p>
        </w:tc>
      </w:tr>
      <w:tr w:rsidR="00ED071B" w:rsidTr="00015B13">
        <w:trPr>
          <w:jc w:val="center"/>
        </w:trPr>
        <w:tc>
          <w:tcPr>
            <w:tcW w:w="830" w:type="dxa"/>
            <w:vMerge/>
            <w:vAlign w:val="center"/>
          </w:tcPr>
          <w:p w:rsidR="00ED071B" w:rsidRDefault="00ED071B" w:rsidP="00015B13">
            <w:pPr>
              <w:suppressAutoHyphens/>
              <w:spacing w:line="280" w:lineRule="exact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15</w:t>
            </w:r>
          </w:p>
        </w:tc>
        <w:tc>
          <w:tcPr>
            <w:tcW w:w="1292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网络安全监管与合规智能化</w:t>
            </w:r>
          </w:p>
        </w:tc>
        <w:tc>
          <w:tcPr>
            <w:tcW w:w="6272" w:type="dxa"/>
            <w:vAlign w:val="center"/>
          </w:tcPr>
          <w:p w:rsidR="00ED071B" w:rsidRDefault="00ED071B" w:rsidP="00015B13">
            <w:pPr>
              <w:suppressAutoHyphens/>
              <w:spacing w:line="280" w:lineRule="exact"/>
              <w:ind w:firstLineChars="200" w:firstLine="458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pacing w:val="-11"/>
                <w:sz w:val="24"/>
                <w:szCs w:val="24"/>
              </w:rPr>
              <w:t>面向国内外网络安全合规监管需求，以智能化技术平台赋能网络安全领域的监管、合规和治理，推动全行业网络安全能力的提升。包括网络安全和数据安全的检测和评估工具、网络安全等保合规工具/平台、个人信息保护自评估服务平台、跨境数据审查和合规服务、网络安全合规情报服务等。</w:t>
            </w:r>
          </w:p>
        </w:tc>
      </w:tr>
    </w:tbl>
    <w:p w:rsidR="00ED071B" w:rsidRDefault="00ED071B" w:rsidP="00ED071B">
      <w:pPr>
        <w:spacing w:line="460" w:lineRule="exact"/>
        <w:rPr>
          <w:rFonts w:ascii="黑体" w:eastAsia="黑体" w:hAnsi="黑体"/>
        </w:rPr>
      </w:pPr>
    </w:p>
    <w:p w:rsidR="00037E0F" w:rsidRDefault="00037E0F"/>
    <w:sectPr w:rsidR="00037E0F" w:rsidSect="00037E0F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仿宋_GB2312">
    <w:altName w:val="FangSong_GB2312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方正小标宋简体">
    <w:altName w:val="FZXiaoBiaoSong-B05S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71B"/>
    <w:rsid w:val="00037E0F"/>
    <w:rsid w:val="009E26DB"/>
    <w:rsid w:val="00ED0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71B"/>
    <w:pPr>
      <w:widowControl w:val="0"/>
      <w:spacing w:line="240" w:lineRule="atLeast"/>
      <w:jc w:val="both"/>
    </w:pPr>
    <w:rPr>
      <w:rFonts w:ascii="Times New Roman" w:eastAsia="仿宋_GB2312" w:hAnsi="Times New Roman" w:cs="Times New Roman"/>
      <w:spacing w:val="-6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ED071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ED071B"/>
    <w:pPr>
      <w:suppressAutoHyphens/>
      <w:spacing w:line="240" w:lineRule="auto"/>
      <w:jc w:val="left"/>
    </w:pPr>
    <w:rPr>
      <w:rFonts w:ascii="Calibri" w:eastAsia="宋体" w:hAnsi="Calibri"/>
      <w:spacing w:val="0"/>
      <w:kern w:val="0"/>
      <w:sz w:val="22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71B"/>
    <w:pPr>
      <w:widowControl w:val="0"/>
      <w:spacing w:line="240" w:lineRule="atLeast"/>
      <w:jc w:val="both"/>
    </w:pPr>
    <w:rPr>
      <w:rFonts w:ascii="Times New Roman" w:eastAsia="仿宋_GB2312" w:hAnsi="Times New Roman" w:cs="Times New Roman"/>
      <w:spacing w:val="-6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ED071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ED071B"/>
    <w:pPr>
      <w:suppressAutoHyphens/>
      <w:spacing w:line="240" w:lineRule="auto"/>
      <w:jc w:val="left"/>
    </w:pPr>
    <w:rPr>
      <w:rFonts w:ascii="Calibri" w:eastAsia="宋体" w:hAnsi="Calibri"/>
      <w:spacing w:val="0"/>
      <w:kern w:val="0"/>
      <w:sz w:val="22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332</Words>
  <Characters>1899</Characters>
  <Application>Microsoft Macintosh Word</Application>
  <DocSecurity>0</DocSecurity>
  <Lines>15</Lines>
  <Paragraphs>4</Paragraphs>
  <ScaleCrop>false</ScaleCrop>
  <Company/>
  <LinksUpToDate>false</LinksUpToDate>
  <CharactersWithSpaces>2227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yl Wu</dc:creator>
  <cp:keywords/>
  <dc:description/>
  <cp:lastModifiedBy>yl Wu</cp:lastModifiedBy>
  <cp:revision>2</cp:revision>
  <dcterms:created xsi:type="dcterms:W3CDTF">2022-07-01T01:03:00Z</dcterms:created>
  <dcterms:modified xsi:type="dcterms:W3CDTF">2022-07-01T01:03:00Z</dcterms:modified>
</cp:coreProperties>
</file>