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topLinePunct w:val="0"/>
        <w:bidi w:val="0"/>
        <w:adjustRightInd/>
        <w:snapToGrid/>
        <w:spacing w:before="0" w:beforeAutospacing="0" w:after="0" w:afterAutospacing="0" w:line="600" w:lineRule="exact"/>
        <w:ind w:right="0"/>
        <w:jc w:val="both"/>
        <w:rPr>
          <w:rFonts w:hint="default" w:ascii="Times New Roman" w:hAnsi="Times New Roman" w:eastAsia="黑体" w:cs="Times New Roman"/>
          <w:i w:val="0"/>
          <w:caps w:val="0"/>
          <w:color w:val="auto"/>
          <w:spacing w:val="0"/>
          <w:sz w:val="32"/>
          <w:szCs w:val="32"/>
          <w:shd w:val="clear" w:color="auto" w:fill="auto"/>
          <w:lang w:val="en-US" w:eastAsia="zh-CN"/>
        </w:rPr>
      </w:pPr>
      <w:r>
        <w:rPr>
          <w:rFonts w:hint="default" w:ascii="Times New Roman" w:hAnsi="Times New Roman" w:eastAsia="黑体" w:cs="Times New Roman"/>
          <w:i w:val="0"/>
          <w:caps w:val="0"/>
          <w:color w:val="auto"/>
          <w:spacing w:val="0"/>
          <w:sz w:val="32"/>
          <w:szCs w:val="32"/>
          <w:shd w:val="clear" w:color="auto" w:fill="auto"/>
          <w:lang w:eastAsia="zh-CN"/>
        </w:rPr>
        <w:t>附件</w:t>
      </w:r>
      <w:r>
        <w:rPr>
          <w:rFonts w:hint="default" w:ascii="Times New Roman" w:hAnsi="Times New Roman" w:eastAsia="黑体" w:cs="Times New Roman"/>
          <w:i w:val="0"/>
          <w:caps w:val="0"/>
          <w:color w:val="auto"/>
          <w:spacing w:val="0"/>
          <w:sz w:val="32"/>
          <w:szCs w:val="32"/>
          <w:shd w:val="clear" w:color="auto" w:fill="auto"/>
          <w:lang w:val="en-US" w:eastAsia="zh-CN"/>
        </w:rPr>
        <w:t>2</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topLinePunct w:val="0"/>
        <w:bidi w:val="0"/>
        <w:adjustRightInd/>
        <w:snapToGrid/>
        <w:spacing w:before="0" w:beforeAutospacing="0" w:after="0" w:afterAutospacing="0" w:line="600" w:lineRule="exact"/>
        <w:ind w:right="0"/>
        <w:jc w:val="center"/>
        <w:rPr>
          <w:rFonts w:hint="default" w:ascii="Times New Roman" w:hAnsi="Times New Roman" w:eastAsia="方正小标宋简体" w:cs="Times New Roman"/>
          <w:i w:val="0"/>
          <w:caps w:val="0"/>
          <w:color w:val="auto"/>
          <w:spacing w:val="0"/>
          <w:sz w:val="44"/>
          <w:szCs w:val="44"/>
          <w:shd w:val="clear" w:color="auto" w:fill="auto"/>
          <w:lang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topLinePunct w:val="0"/>
        <w:bidi w:val="0"/>
        <w:adjustRightInd/>
        <w:snapToGrid/>
        <w:spacing w:before="0" w:beforeAutospacing="0" w:after="0" w:afterAutospacing="0" w:line="600" w:lineRule="exact"/>
        <w:ind w:right="0"/>
        <w:jc w:val="center"/>
        <w:rPr>
          <w:rFonts w:hint="default" w:ascii="Times New Roman" w:hAnsi="Times New Roman" w:eastAsia="方正小标宋简体" w:cs="Times New Roman"/>
          <w:i w:val="0"/>
          <w:caps w:val="0"/>
          <w:color w:val="auto"/>
          <w:spacing w:val="0"/>
          <w:sz w:val="44"/>
          <w:szCs w:val="44"/>
          <w:shd w:val="clear" w:color="auto" w:fill="auto"/>
          <w:lang w:val="en-US" w:eastAsia="zh-CN"/>
        </w:rPr>
      </w:pPr>
      <w:r>
        <w:rPr>
          <w:rFonts w:hint="default" w:ascii="Times New Roman" w:hAnsi="Times New Roman" w:eastAsia="方正小标宋简体" w:cs="Times New Roman"/>
          <w:i w:val="0"/>
          <w:caps w:val="0"/>
          <w:color w:val="auto"/>
          <w:spacing w:val="0"/>
          <w:sz w:val="44"/>
          <w:szCs w:val="44"/>
          <w:shd w:val="clear" w:color="auto" w:fill="auto"/>
          <w:lang w:eastAsia="zh-CN"/>
        </w:rPr>
        <w:t>南海区</w:t>
      </w:r>
      <w:r>
        <w:rPr>
          <w:rFonts w:hint="eastAsia" w:ascii="Times New Roman" w:hAnsi="Times New Roman" w:eastAsia="方正小标宋简体" w:cs="Times New Roman"/>
          <w:i w:val="0"/>
          <w:caps w:val="0"/>
          <w:color w:val="auto"/>
          <w:spacing w:val="0"/>
          <w:sz w:val="44"/>
          <w:szCs w:val="44"/>
          <w:shd w:val="clear" w:color="auto" w:fill="auto"/>
          <w:lang w:val="en-US" w:eastAsia="zh-CN"/>
        </w:rPr>
        <w:t>生物医药</w:t>
      </w:r>
      <w:r>
        <w:rPr>
          <w:rFonts w:hint="default" w:ascii="Times New Roman" w:hAnsi="Times New Roman" w:eastAsia="方正小标宋简体" w:cs="Times New Roman"/>
          <w:i w:val="0"/>
          <w:caps w:val="0"/>
          <w:color w:val="auto"/>
          <w:spacing w:val="0"/>
          <w:sz w:val="44"/>
          <w:szCs w:val="44"/>
          <w:shd w:val="clear" w:color="auto" w:fill="auto"/>
          <w:lang w:val="en-US" w:eastAsia="zh-CN"/>
        </w:rPr>
        <w:t>服务平台认定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topLinePunct w:val="0"/>
        <w:bidi w:val="0"/>
        <w:adjustRightInd/>
        <w:snapToGrid/>
        <w:spacing w:before="0" w:beforeAutospacing="0" w:after="0" w:afterAutospacing="0" w:line="600" w:lineRule="exact"/>
        <w:ind w:right="0"/>
        <w:jc w:val="center"/>
        <w:rPr>
          <w:rFonts w:hint="default" w:ascii="Times New Roman" w:hAnsi="Times New Roman" w:eastAsia="方正小标宋简体" w:cs="Times New Roman"/>
          <w:i w:val="0"/>
          <w:caps w:val="0"/>
          <w:color w:val="auto"/>
          <w:spacing w:val="0"/>
          <w:sz w:val="44"/>
          <w:szCs w:val="44"/>
          <w:shd w:val="clear" w:color="auto" w:fill="auto"/>
          <w:lang w:eastAsia="zh-CN"/>
        </w:rPr>
      </w:pPr>
      <w:r>
        <w:rPr>
          <w:rFonts w:hint="default" w:ascii="Times New Roman" w:hAnsi="Times New Roman" w:eastAsia="方正小标宋简体" w:cs="Times New Roman"/>
          <w:i w:val="0"/>
          <w:caps w:val="0"/>
          <w:color w:val="auto"/>
          <w:spacing w:val="0"/>
          <w:sz w:val="44"/>
          <w:szCs w:val="44"/>
          <w:shd w:val="clear" w:color="auto" w:fill="auto"/>
        </w:rPr>
        <w:t>评审标准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topLinePunct w:val="0"/>
        <w:bidi w:val="0"/>
        <w:adjustRightInd/>
        <w:snapToGrid/>
        <w:spacing w:before="0" w:beforeAutospacing="0" w:after="0" w:afterAutospacing="0" w:line="600" w:lineRule="exact"/>
        <w:ind w:left="0" w:right="0" w:firstLine="0"/>
        <w:jc w:val="left"/>
        <w:rPr>
          <w:rFonts w:hint="default" w:ascii="Times New Roman" w:hAnsi="Times New Roman" w:eastAsia="黑体" w:cs="Times New Roman"/>
          <w:i w:val="0"/>
          <w:caps w:val="0"/>
          <w:color w:val="auto"/>
          <w:spacing w:val="0"/>
          <w:sz w:val="28"/>
          <w:szCs w:val="28"/>
          <w:shd w:val="clear" w:color="auto" w:fill="auto"/>
        </w:rPr>
      </w:pPr>
      <w:r>
        <w:rPr>
          <w:rFonts w:hint="default" w:ascii="Times New Roman" w:hAnsi="Times New Roman" w:eastAsia="黑体" w:cs="Times New Roman"/>
          <w:i w:val="0"/>
          <w:caps w:val="0"/>
          <w:color w:val="auto"/>
          <w:spacing w:val="0"/>
          <w:sz w:val="28"/>
          <w:szCs w:val="28"/>
          <w:shd w:val="clear" w:color="auto" w:fill="auto"/>
        </w:rPr>
        <w:t>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left"/>
        <w:textAlignment w:val="auto"/>
        <w:rPr>
          <w:rFonts w:hint="default" w:ascii="Times New Roman" w:hAnsi="Times New Roman" w:eastAsia="黑体" w:cs="Times New Roman"/>
          <w:i w:val="0"/>
          <w:caps w:val="0"/>
          <w:color w:val="auto"/>
          <w:spacing w:val="0"/>
          <w:sz w:val="32"/>
          <w:szCs w:val="32"/>
          <w:shd w:val="clear" w:color="auto" w:fill="auto"/>
          <w:lang w:eastAsia="zh-CN"/>
        </w:rPr>
      </w:pPr>
      <w:r>
        <w:rPr>
          <w:rFonts w:hint="default" w:ascii="Times New Roman" w:hAnsi="Times New Roman" w:eastAsia="黑体" w:cs="Times New Roman"/>
          <w:i w:val="0"/>
          <w:caps w:val="0"/>
          <w:color w:val="auto"/>
          <w:spacing w:val="0"/>
          <w:sz w:val="32"/>
          <w:szCs w:val="32"/>
          <w:shd w:val="clear" w:color="auto" w:fill="auto"/>
        </w:rPr>
        <w:t>一、</w:t>
      </w:r>
      <w:r>
        <w:rPr>
          <w:rFonts w:hint="default" w:ascii="Times New Roman" w:hAnsi="Times New Roman" w:eastAsia="黑体" w:cs="Times New Roman"/>
          <w:i w:val="0"/>
          <w:caps w:val="0"/>
          <w:color w:val="auto"/>
          <w:spacing w:val="0"/>
          <w:sz w:val="32"/>
          <w:szCs w:val="32"/>
          <w:shd w:val="clear" w:color="auto" w:fill="auto"/>
          <w:lang w:eastAsia="zh-CN"/>
        </w:rPr>
        <w:t>一票否决</w:t>
      </w:r>
      <w:r>
        <w:rPr>
          <w:rFonts w:hint="default" w:ascii="Times New Roman" w:hAnsi="Times New Roman" w:eastAsia="黑体" w:cs="Times New Roman"/>
          <w:i w:val="0"/>
          <w:caps w:val="0"/>
          <w:color w:val="auto"/>
          <w:spacing w:val="0"/>
          <w:sz w:val="32"/>
          <w:szCs w:val="32"/>
          <w:shd w:val="clear" w:color="auto" w:fill="auto"/>
        </w:rPr>
        <w:t>指标</w:t>
      </w:r>
    </w:p>
    <w:p>
      <w:pPr>
        <w:pStyle w:val="6"/>
        <w:keepNext w:val="0"/>
        <w:keepLines w:val="0"/>
        <w:pageBreakBefore w:val="0"/>
        <w:widowControl w:val="0"/>
        <w:kinsoku/>
        <w:wordWrap/>
        <w:overflowPunct w:val="0"/>
        <w:topLinePunct w:val="0"/>
        <w:autoSpaceDE w:val="0"/>
        <w:autoSpaceDN w:val="0"/>
        <w:bidi w:val="0"/>
        <w:adjustRightInd/>
        <w:snapToGrid/>
        <w:spacing w:before="0" w:beforeLines="0" w:beforeAutospacing="0" w:after="0" w:afterLines="0" w:afterAutospacing="0" w:line="600" w:lineRule="exact"/>
        <w:ind w:left="0" w:leftChars="0" w:right="0" w:rightChars="0" w:firstLine="645"/>
        <w:jc w:val="both"/>
        <w:textAlignment w:val="center"/>
        <w:outlineLvl w:val="9"/>
        <w:rPr>
          <w:rFonts w:hint="default" w:ascii="Times New Roman" w:hAnsi="Times New Roman" w:eastAsia="仿宋_GB2312" w:cs="Times New Roman"/>
          <w:b w:val="0"/>
          <w:bCs/>
          <w:color w:val="auto"/>
          <w:spacing w:val="-6"/>
          <w:sz w:val="32"/>
          <w:szCs w:val="32"/>
          <w:lang w:val="en-US" w:eastAsia="zh-CN"/>
        </w:rPr>
      </w:pPr>
      <w:r>
        <w:rPr>
          <w:rFonts w:hint="default" w:ascii="Times New Roman" w:hAnsi="Times New Roman" w:eastAsia="仿宋_GB2312" w:cs="Times New Roman"/>
          <w:b w:val="0"/>
          <w:bCs/>
          <w:color w:val="auto"/>
          <w:spacing w:val="-6"/>
          <w:sz w:val="32"/>
          <w:szCs w:val="32"/>
          <w:lang w:val="en-US" w:eastAsia="zh-CN"/>
        </w:rPr>
        <w:t xml:space="preserve">（一） </w:t>
      </w:r>
      <w:r>
        <w:rPr>
          <w:rFonts w:hint="eastAsia" w:ascii="仿宋_GB2312" w:hAnsi="仿宋_GB2312" w:eastAsia="仿宋_GB2312" w:cs="仿宋_GB2312"/>
          <w:color w:val="auto"/>
          <w:sz w:val="32"/>
          <w:szCs w:val="32"/>
        </w:rPr>
        <w:t>工商注册地在佛山市南海区，</w:t>
      </w:r>
      <w:r>
        <w:rPr>
          <w:rFonts w:hint="eastAsia" w:ascii="仿宋_GB2312" w:hAnsi="仿宋_GB2312" w:eastAsia="仿宋_GB2312" w:cs="仿宋_GB2312"/>
          <w:color w:val="auto"/>
          <w:sz w:val="32"/>
          <w:szCs w:val="32"/>
          <w:lang w:val="en-US" w:eastAsia="zh-CN"/>
        </w:rPr>
        <w:t>注册资本不低于1000万元，</w:t>
      </w:r>
      <w:r>
        <w:rPr>
          <w:rFonts w:hint="eastAsia" w:ascii="仿宋_GB2312" w:hAnsi="仿宋_GB2312" w:eastAsia="仿宋_GB2312" w:cs="仿宋_GB2312"/>
          <w:color w:val="auto"/>
          <w:sz w:val="32"/>
          <w:szCs w:val="32"/>
        </w:rPr>
        <w:t>且具有独立法人资格的</w:t>
      </w:r>
      <w:r>
        <w:rPr>
          <w:rFonts w:hint="eastAsia" w:ascii="仿宋_GB2312" w:hAnsi="仿宋_GB2312" w:eastAsia="仿宋_GB2312" w:cs="仿宋_GB2312"/>
          <w:color w:val="auto"/>
          <w:sz w:val="32"/>
          <w:szCs w:val="32"/>
          <w:lang w:val="en-US" w:eastAsia="zh-CN"/>
        </w:rPr>
        <w:t>生物医药</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服务</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企业</w:t>
      </w:r>
      <w:r>
        <w:rPr>
          <w:rFonts w:hint="default" w:ascii="Times New Roman" w:hAnsi="Times New Roman" w:eastAsia="仿宋_GB2312" w:cs="Times New Roman"/>
          <w:b w:val="0"/>
          <w:bCs/>
          <w:color w:val="auto"/>
          <w:spacing w:val="-6"/>
          <w:sz w:val="32"/>
          <w:szCs w:val="32"/>
          <w:lang w:val="en-US" w:eastAsia="zh-CN"/>
        </w:rPr>
        <w:t>；</w:t>
      </w:r>
    </w:p>
    <w:p>
      <w:pPr>
        <w:pStyle w:val="6"/>
        <w:keepNext w:val="0"/>
        <w:keepLines w:val="0"/>
        <w:pageBreakBefore w:val="0"/>
        <w:widowControl w:val="0"/>
        <w:kinsoku/>
        <w:wordWrap/>
        <w:overflowPunct w:val="0"/>
        <w:topLinePunct w:val="0"/>
        <w:autoSpaceDE w:val="0"/>
        <w:autoSpaceDN w:val="0"/>
        <w:bidi w:val="0"/>
        <w:adjustRightInd/>
        <w:snapToGrid/>
        <w:spacing w:before="0" w:beforeLines="0" w:beforeAutospacing="0" w:after="0" w:afterLines="0" w:afterAutospacing="0" w:line="600" w:lineRule="exact"/>
        <w:ind w:left="0" w:leftChars="0" w:right="0" w:rightChars="0" w:firstLine="645"/>
        <w:jc w:val="both"/>
        <w:textAlignment w:val="center"/>
        <w:outlineLvl w:val="9"/>
        <w:rPr>
          <w:rFonts w:hint="default" w:ascii="Times New Roman" w:hAnsi="Times New Roman" w:eastAsia="仿宋_GB2312" w:cs="Times New Roman"/>
          <w:b w:val="0"/>
          <w:bCs/>
          <w:color w:val="auto"/>
          <w:spacing w:val="-6"/>
          <w:sz w:val="32"/>
          <w:szCs w:val="32"/>
          <w:lang w:val="en-US" w:eastAsia="zh-CN"/>
        </w:rPr>
      </w:pPr>
      <w:r>
        <w:rPr>
          <w:rFonts w:hint="default" w:ascii="Times New Roman" w:hAnsi="Times New Roman" w:eastAsia="仿宋_GB2312" w:cs="Times New Roman"/>
          <w:b w:val="0"/>
          <w:bCs/>
          <w:color w:val="auto"/>
          <w:spacing w:val="-6"/>
          <w:sz w:val="32"/>
          <w:szCs w:val="32"/>
          <w:lang w:val="en-US" w:eastAsia="zh-CN"/>
        </w:rPr>
        <w:t>（二） 成立1年及以上，</w:t>
      </w:r>
      <w:r>
        <w:rPr>
          <w:rFonts w:hint="eastAsia" w:ascii="Times New Roman" w:hAnsi="Times New Roman" w:eastAsia="仿宋_GB2312" w:cs="Times New Roman"/>
          <w:color w:val="auto"/>
          <w:sz w:val="32"/>
          <w:szCs w:val="32"/>
          <w:highlight w:val="none"/>
          <w:lang w:val="en-US" w:eastAsia="zh-CN"/>
        </w:rPr>
        <w:t>具有支撑企业研发、试验和办公必需的场所，且面积不低于500平方米</w:t>
      </w:r>
      <w:r>
        <w:rPr>
          <w:rFonts w:hint="default" w:ascii="Times New Roman" w:hAnsi="Times New Roman" w:eastAsia="仿宋_GB2312" w:cs="Times New Roman"/>
          <w:b w:val="0"/>
          <w:bCs/>
          <w:color w:val="auto"/>
          <w:spacing w:val="-6"/>
          <w:sz w:val="32"/>
          <w:szCs w:val="32"/>
          <w:lang w:val="en-US" w:eastAsia="zh-CN"/>
        </w:rPr>
        <w:t>；</w:t>
      </w:r>
    </w:p>
    <w:p>
      <w:pPr>
        <w:pStyle w:val="6"/>
        <w:keepNext w:val="0"/>
        <w:keepLines w:val="0"/>
        <w:pageBreakBefore w:val="0"/>
        <w:widowControl w:val="0"/>
        <w:kinsoku/>
        <w:wordWrap/>
        <w:overflowPunct w:val="0"/>
        <w:topLinePunct w:val="0"/>
        <w:autoSpaceDE w:val="0"/>
        <w:autoSpaceDN w:val="0"/>
        <w:bidi w:val="0"/>
        <w:adjustRightInd/>
        <w:snapToGrid/>
        <w:spacing w:before="0" w:beforeLines="0" w:beforeAutospacing="0" w:after="0" w:afterLines="0" w:afterAutospacing="0" w:line="600" w:lineRule="exact"/>
        <w:ind w:left="0" w:leftChars="0" w:right="0" w:rightChars="0" w:firstLine="645"/>
        <w:jc w:val="both"/>
        <w:textAlignment w:val="center"/>
        <w:outlineLvl w:val="9"/>
        <w:rPr>
          <w:rFonts w:hint="default" w:ascii="Times New Roman" w:hAnsi="Times New Roman" w:eastAsia="仿宋_GB2312" w:cs="Times New Roman"/>
          <w:b w:val="0"/>
          <w:bCs/>
          <w:color w:val="auto"/>
          <w:spacing w:val="-6"/>
          <w:sz w:val="32"/>
          <w:szCs w:val="32"/>
          <w:lang w:val="en-US" w:eastAsia="zh-CN"/>
        </w:rPr>
      </w:pPr>
      <w:r>
        <w:rPr>
          <w:rFonts w:hint="default" w:ascii="Times New Roman" w:hAnsi="Times New Roman" w:eastAsia="仿宋_GB2312" w:cs="Times New Roman"/>
          <w:b w:val="0"/>
          <w:bCs/>
          <w:color w:val="auto"/>
          <w:spacing w:val="-6"/>
          <w:sz w:val="32"/>
          <w:szCs w:val="32"/>
          <w:lang w:val="en-US" w:eastAsia="zh-CN"/>
        </w:rPr>
        <w:t xml:space="preserve">（三） </w:t>
      </w:r>
      <w:r>
        <w:rPr>
          <w:rFonts w:hint="eastAsia" w:ascii="仿宋_GB2312" w:hAnsi="仿宋_GB2312" w:eastAsia="仿宋_GB2312" w:cs="仿宋_GB2312"/>
          <w:color w:val="auto"/>
          <w:sz w:val="32"/>
          <w:szCs w:val="32"/>
          <w:lang w:val="en-US" w:eastAsia="zh-CN"/>
        </w:rPr>
        <w:t>专业从业人员不少于10人，其中具有大学本科及以上学历或具有中级职称及以上的技术人员不低于50%；从业人员中专职人员不少于5人（以社保和劳动合同为准），</w:t>
      </w:r>
      <w:r>
        <w:rPr>
          <w:rFonts w:hint="default" w:ascii="仿宋_GB2312" w:hAnsi="仿宋_GB2312" w:eastAsia="仿宋_GB2312" w:cs="仿宋_GB2312"/>
          <w:color w:val="auto"/>
          <w:sz w:val="32"/>
          <w:szCs w:val="32"/>
          <w:lang w:val="en-US" w:eastAsia="zh-CN"/>
        </w:rPr>
        <w:t>兼职</w:t>
      </w:r>
      <w:r>
        <w:rPr>
          <w:rFonts w:hint="eastAsia" w:ascii="仿宋_GB2312" w:hAnsi="仿宋_GB2312" w:eastAsia="仿宋_GB2312" w:cs="仿宋_GB2312"/>
          <w:color w:val="auto"/>
          <w:sz w:val="32"/>
          <w:szCs w:val="32"/>
          <w:lang w:val="en-US" w:eastAsia="zh-CN"/>
        </w:rPr>
        <w:t>技术人员不多于5人</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以兼职委派协议和单位缴税证明</w:t>
      </w:r>
      <w:r>
        <w:rPr>
          <w:rFonts w:hint="eastAsia" w:ascii="仿宋_GB2312" w:hAnsi="仿宋_GB2312" w:eastAsia="仿宋_GB2312" w:cs="仿宋_GB2312"/>
          <w:color w:val="auto"/>
          <w:sz w:val="32"/>
          <w:szCs w:val="32"/>
        </w:rPr>
        <w:t>为准）</w:t>
      </w:r>
      <w:r>
        <w:rPr>
          <w:rFonts w:hint="default" w:ascii="Times New Roman" w:hAnsi="Times New Roman" w:eastAsia="仿宋_GB2312" w:cs="Times New Roman"/>
          <w:b w:val="0"/>
          <w:bCs/>
          <w:color w:val="auto"/>
          <w:spacing w:val="-6"/>
          <w:sz w:val="32"/>
          <w:szCs w:val="32"/>
          <w:lang w:val="en-US" w:eastAsia="zh-CN"/>
        </w:rPr>
        <w:t>；</w:t>
      </w:r>
    </w:p>
    <w:p>
      <w:pPr>
        <w:pStyle w:val="6"/>
        <w:keepNext w:val="0"/>
        <w:keepLines w:val="0"/>
        <w:pageBreakBefore w:val="0"/>
        <w:widowControl w:val="0"/>
        <w:kinsoku/>
        <w:wordWrap/>
        <w:overflowPunct w:val="0"/>
        <w:topLinePunct w:val="0"/>
        <w:autoSpaceDE w:val="0"/>
        <w:autoSpaceDN w:val="0"/>
        <w:bidi w:val="0"/>
        <w:adjustRightInd/>
        <w:snapToGrid/>
        <w:spacing w:before="0" w:beforeLines="0" w:beforeAutospacing="0" w:after="0" w:afterLines="0" w:afterAutospacing="0" w:line="600" w:lineRule="exact"/>
        <w:ind w:left="0" w:leftChars="0" w:right="0" w:rightChars="0" w:firstLine="645"/>
        <w:jc w:val="both"/>
        <w:textAlignment w:val="center"/>
        <w:outlineLvl w:val="9"/>
        <w:rPr>
          <w:rFonts w:hint="default" w:ascii="Times New Roman" w:hAnsi="Times New Roman" w:eastAsia="仿宋_GB2312" w:cs="Times New Roman"/>
          <w:b w:val="0"/>
          <w:bCs/>
          <w:color w:val="auto"/>
          <w:spacing w:val="-6"/>
          <w:sz w:val="32"/>
          <w:szCs w:val="32"/>
          <w:lang w:val="en-US" w:eastAsia="zh-CN"/>
        </w:rPr>
      </w:pPr>
      <w:r>
        <w:rPr>
          <w:rFonts w:hint="default" w:ascii="Times New Roman" w:hAnsi="Times New Roman" w:eastAsia="仿宋_GB2312" w:cs="Times New Roman"/>
          <w:b w:val="0"/>
          <w:bCs/>
          <w:color w:val="auto"/>
          <w:spacing w:val="-6"/>
          <w:sz w:val="32"/>
          <w:szCs w:val="32"/>
          <w:lang w:val="en-US" w:eastAsia="zh-CN"/>
        </w:rPr>
        <w:t xml:space="preserve">（四） </w:t>
      </w:r>
      <w:r>
        <w:rPr>
          <w:rFonts w:hint="eastAsia" w:ascii="仿宋_GB2312" w:hAnsi="仿宋_GB2312" w:eastAsia="仿宋_GB2312" w:cs="仿宋_GB2312"/>
          <w:color w:val="auto"/>
          <w:sz w:val="32"/>
          <w:szCs w:val="32"/>
          <w:lang w:val="en-US" w:eastAsia="zh-CN"/>
        </w:rPr>
        <w:t>具有较好的管理制度，健全的服务流程、收费标准和服务质量保障措施</w:t>
      </w:r>
      <w:r>
        <w:rPr>
          <w:rFonts w:hint="default" w:ascii="Times New Roman" w:hAnsi="Times New Roman" w:eastAsia="仿宋_GB2312" w:cs="Times New Roman"/>
          <w:b w:val="0"/>
          <w:bCs/>
          <w:color w:val="auto"/>
          <w:spacing w:val="-6"/>
          <w:sz w:val="32"/>
          <w:szCs w:val="32"/>
          <w:lang w:val="en-US" w:eastAsia="zh-CN"/>
        </w:rPr>
        <w:t>；</w:t>
      </w:r>
    </w:p>
    <w:p>
      <w:pPr>
        <w:pStyle w:val="6"/>
        <w:keepNext w:val="0"/>
        <w:keepLines w:val="0"/>
        <w:pageBreakBefore w:val="0"/>
        <w:widowControl w:val="0"/>
        <w:kinsoku/>
        <w:wordWrap/>
        <w:overflowPunct w:val="0"/>
        <w:topLinePunct w:val="0"/>
        <w:autoSpaceDE w:val="0"/>
        <w:autoSpaceDN w:val="0"/>
        <w:bidi w:val="0"/>
        <w:adjustRightInd/>
        <w:snapToGrid/>
        <w:spacing w:before="0" w:beforeLines="0" w:beforeAutospacing="0" w:after="0" w:afterLines="0" w:afterAutospacing="0" w:line="600" w:lineRule="exact"/>
        <w:ind w:left="0" w:leftChars="0" w:right="0" w:rightChars="0" w:firstLine="645"/>
        <w:jc w:val="both"/>
        <w:textAlignment w:val="center"/>
        <w:outlineLvl w:val="9"/>
        <w:rPr>
          <w:rFonts w:hint="default" w:ascii="Times New Roman" w:hAnsi="Times New Roman" w:eastAsia="仿宋_GB2312" w:cs="Times New Roman"/>
          <w:b w:val="0"/>
          <w:bCs/>
          <w:color w:val="auto"/>
          <w:spacing w:val="-6"/>
          <w:sz w:val="32"/>
          <w:szCs w:val="32"/>
          <w:lang w:val="en-US" w:eastAsia="zh-CN"/>
        </w:rPr>
      </w:pPr>
      <w:r>
        <w:rPr>
          <w:rFonts w:hint="default" w:ascii="Times New Roman" w:hAnsi="Times New Roman" w:eastAsia="仿宋_GB2312" w:cs="Times New Roman"/>
          <w:b w:val="0"/>
          <w:bCs/>
          <w:color w:val="auto"/>
          <w:spacing w:val="-6"/>
          <w:sz w:val="32"/>
          <w:szCs w:val="32"/>
          <w:lang w:val="en-US" w:eastAsia="zh-CN"/>
        </w:rPr>
        <w:t xml:space="preserve">（五） </w:t>
      </w:r>
      <w:r>
        <w:rPr>
          <w:rFonts w:hint="eastAsia" w:ascii="仿宋_GB2312" w:hAnsi="仿宋_GB2312" w:eastAsia="仿宋_GB2312" w:cs="仿宋_GB2312"/>
          <w:color w:val="auto"/>
          <w:sz w:val="32"/>
          <w:szCs w:val="32"/>
          <w:lang w:val="en-US" w:eastAsia="zh-CN"/>
        </w:rPr>
        <w:t>具有较好的前期工作基础和业绩，且从2020年度至截止申请日期已服务企业不少于10家</w:t>
      </w:r>
      <w:r>
        <w:rPr>
          <w:rFonts w:hint="default" w:ascii="Times New Roman" w:hAnsi="Times New Roman" w:eastAsia="仿宋_GB2312" w:cs="Times New Roman"/>
          <w:b w:val="0"/>
          <w:bCs/>
          <w:color w:val="auto"/>
          <w:spacing w:val="-6"/>
          <w:sz w:val="32"/>
          <w:szCs w:val="32"/>
          <w:lang w:val="en-US" w:eastAsia="zh-CN"/>
        </w:rPr>
        <w:t>；</w:t>
      </w:r>
    </w:p>
    <w:p>
      <w:pPr>
        <w:pStyle w:val="6"/>
        <w:keepNext w:val="0"/>
        <w:keepLines w:val="0"/>
        <w:pageBreakBefore w:val="0"/>
        <w:widowControl w:val="0"/>
        <w:kinsoku/>
        <w:wordWrap/>
        <w:overflowPunct w:val="0"/>
        <w:topLinePunct w:val="0"/>
        <w:autoSpaceDE w:val="0"/>
        <w:autoSpaceDN w:val="0"/>
        <w:bidi w:val="0"/>
        <w:adjustRightInd/>
        <w:snapToGrid/>
        <w:spacing w:before="0" w:beforeLines="0" w:beforeAutospacing="0" w:after="0" w:afterLines="0" w:afterAutospacing="0" w:line="600" w:lineRule="exact"/>
        <w:ind w:left="0" w:leftChars="0" w:right="0" w:rightChars="0" w:firstLine="645"/>
        <w:jc w:val="both"/>
        <w:textAlignment w:val="center"/>
        <w:outlineLvl w:val="9"/>
        <w:rPr>
          <w:rFonts w:hint="eastAsia" w:ascii="仿宋_GB2312" w:hAnsi="仿宋_GB2312" w:eastAsia="仿宋_GB2312" w:cs="仿宋_GB2312"/>
          <w:color w:val="auto"/>
          <w:sz w:val="32"/>
          <w:szCs w:val="32"/>
          <w:highlight w:val="none"/>
          <w:lang w:val="en-US" w:eastAsia="zh-CN"/>
        </w:rPr>
      </w:pPr>
      <w:r>
        <w:rPr>
          <w:rFonts w:hint="default" w:ascii="Times New Roman" w:hAnsi="Times New Roman" w:eastAsia="仿宋_GB2312" w:cs="Times New Roman"/>
          <w:b w:val="0"/>
          <w:bCs/>
          <w:color w:val="auto"/>
          <w:spacing w:val="-6"/>
          <w:sz w:val="32"/>
          <w:szCs w:val="32"/>
          <w:lang w:val="en-US" w:eastAsia="zh-CN"/>
        </w:rPr>
        <w:t xml:space="preserve">（六） </w:t>
      </w:r>
      <w:r>
        <w:rPr>
          <w:rFonts w:hint="eastAsia" w:ascii="仿宋_GB2312" w:hAnsi="仿宋_GB2312" w:eastAsia="仿宋_GB2312" w:cs="仿宋_GB2312"/>
          <w:color w:val="auto"/>
          <w:sz w:val="32"/>
          <w:szCs w:val="32"/>
          <w:highlight w:val="none"/>
          <w:lang w:val="en-US" w:eastAsia="zh-CN"/>
        </w:rPr>
        <w:t>两年内（截止申请日期）未发生重大质量或安全事故、侵犯知识产权等违法行为或涉嫌违法正在接受有关部门审查的情况。</w:t>
      </w:r>
    </w:p>
    <w:p>
      <w:pPr>
        <w:pStyle w:val="6"/>
        <w:keepNext w:val="0"/>
        <w:keepLines w:val="0"/>
        <w:pageBreakBefore w:val="0"/>
        <w:widowControl w:val="0"/>
        <w:kinsoku/>
        <w:wordWrap/>
        <w:overflowPunct w:val="0"/>
        <w:topLinePunct w:val="0"/>
        <w:autoSpaceDE w:val="0"/>
        <w:autoSpaceDN w:val="0"/>
        <w:bidi w:val="0"/>
        <w:adjustRightInd/>
        <w:snapToGrid/>
        <w:spacing w:before="0" w:beforeLines="0" w:beforeAutospacing="0" w:after="0" w:afterLines="0" w:afterAutospacing="0" w:line="600" w:lineRule="exact"/>
        <w:ind w:left="0" w:leftChars="0" w:right="0" w:rightChars="0" w:firstLine="645"/>
        <w:jc w:val="both"/>
        <w:textAlignment w:val="center"/>
        <w:outlineLvl w:val="9"/>
        <w:rPr>
          <w:rFonts w:hint="default" w:ascii="Times New Roman" w:hAnsi="Times New Roman" w:eastAsia="黑体" w:cs="Times New Roman"/>
          <w:b w:val="0"/>
          <w:bCs/>
          <w:color w:val="auto"/>
          <w:spacing w:val="-6"/>
          <w:sz w:val="32"/>
          <w:szCs w:val="32"/>
          <w:lang w:val="en-US" w:eastAsia="zh-CN"/>
        </w:rPr>
      </w:pPr>
    </w:p>
    <w:p>
      <w:pPr>
        <w:pStyle w:val="6"/>
        <w:keepNext w:val="0"/>
        <w:keepLines w:val="0"/>
        <w:pageBreakBefore w:val="0"/>
        <w:widowControl w:val="0"/>
        <w:kinsoku/>
        <w:wordWrap/>
        <w:overflowPunct w:val="0"/>
        <w:topLinePunct w:val="0"/>
        <w:autoSpaceDE w:val="0"/>
        <w:autoSpaceDN w:val="0"/>
        <w:bidi w:val="0"/>
        <w:adjustRightInd/>
        <w:snapToGrid/>
        <w:spacing w:before="0" w:beforeLines="0" w:beforeAutospacing="0" w:after="0" w:afterLines="0" w:afterAutospacing="0" w:line="550" w:lineRule="exact"/>
        <w:ind w:right="0" w:rightChars="0"/>
        <w:jc w:val="both"/>
        <w:textAlignment w:val="center"/>
        <w:outlineLvl w:val="9"/>
        <w:rPr>
          <w:rFonts w:hint="default" w:ascii="Times New Roman" w:hAnsi="Times New Roman" w:eastAsia="黑体" w:cs="Times New Roman"/>
          <w:b w:val="0"/>
          <w:bCs/>
          <w:color w:val="auto"/>
          <w:spacing w:val="-6"/>
          <w:sz w:val="32"/>
          <w:szCs w:val="32"/>
          <w:lang w:val="en-US" w:eastAsia="zh-CN"/>
        </w:rPr>
      </w:pPr>
      <w:r>
        <w:rPr>
          <w:rFonts w:hint="default" w:ascii="Times New Roman" w:hAnsi="Times New Roman" w:eastAsia="黑体" w:cs="Times New Roman"/>
          <w:b w:val="0"/>
          <w:bCs/>
          <w:color w:val="auto"/>
          <w:spacing w:val="-6"/>
          <w:sz w:val="32"/>
          <w:szCs w:val="32"/>
          <w:lang w:val="en-US" w:eastAsia="zh-CN"/>
        </w:rPr>
        <w:t>二、评审指标（基本条件50分+运营成效50分）</w:t>
      </w:r>
    </w:p>
    <w:tbl>
      <w:tblPr>
        <w:tblStyle w:val="4"/>
        <w:tblW w:w="739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93"/>
        <w:gridCol w:w="1268"/>
        <w:gridCol w:w="3905"/>
        <w:gridCol w:w="122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auto"/>
                <w:sz w:val="22"/>
                <w:szCs w:val="22"/>
                <w:u w:val="none"/>
              </w:rPr>
            </w:pPr>
            <w:r>
              <w:rPr>
                <w:rFonts w:hint="default" w:ascii="Times New Roman" w:hAnsi="Times New Roman" w:eastAsia="宋体" w:cs="Times New Roman"/>
                <w:b/>
                <w:bCs/>
                <w:i w:val="0"/>
                <w:iCs w:val="0"/>
                <w:color w:val="auto"/>
                <w:kern w:val="0"/>
                <w:sz w:val="22"/>
                <w:szCs w:val="22"/>
                <w:u w:val="none"/>
                <w:lang w:val="en-US" w:eastAsia="zh-CN" w:bidi="ar"/>
              </w:rPr>
              <w:t>序号</w:t>
            </w:r>
          </w:p>
        </w:tc>
        <w:tc>
          <w:tcPr>
            <w:tcW w:w="517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auto"/>
                <w:sz w:val="22"/>
                <w:szCs w:val="22"/>
                <w:u w:val="none"/>
              </w:rPr>
            </w:pPr>
            <w:r>
              <w:rPr>
                <w:rFonts w:hint="default" w:ascii="Times New Roman" w:hAnsi="Times New Roman" w:eastAsia="宋体" w:cs="Times New Roman"/>
                <w:b/>
                <w:bCs/>
                <w:i w:val="0"/>
                <w:iCs w:val="0"/>
                <w:color w:val="auto"/>
                <w:kern w:val="0"/>
                <w:sz w:val="22"/>
                <w:szCs w:val="22"/>
                <w:u w:val="none"/>
                <w:lang w:val="en-US" w:eastAsia="zh-CN" w:bidi="ar"/>
              </w:rPr>
              <w:t>评审内容</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auto"/>
                <w:sz w:val="22"/>
                <w:szCs w:val="22"/>
                <w:u w:val="none"/>
              </w:rPr>
            </w:pPr>
            <w:r>
              <w:rPr>
                <w:rFonts w:hint="default" w:ascii="Times New Roman" w:hAnsi="Times New Roman" w:eastAsia="宋体" w:cs="Times New Roman"/>
                <w:b/>
                <w:bCs/>
                <w:i w:val="0"/>
                <w:iCs w:val="0"/>
                <w:color w:val="auto"/>
                <w:kern w:val="0"/>
                <w:sz w:val="22"/>
                <w:szCs w:val="22"/>
                <w:u w:val="none"/>
                <w:lang w:val="en-US" w:eastAsia="zh-CN" w:bidi="ar"/>
              </w:rPr>
              <w:t>分值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0" w:hRule="atLeast"/>
          <w:jc w:val="center"/>
        </w:trPr>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1</w:t>
            </w:r>
          </w:p>
        </w:tc>
        <w:tc>
          <w:tcPr>
            <w:tcW w:w="1268"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基本条件</w:t>
            </w:r>
            <w:r>
              <w:rPr>
                <w:rFonts w:hint="default" w:ascii="Times New Roman" w:hAnsi="Times New Roman" w:eastAsia="宋体" w:cs="Times New Roman"/>
                <w:i w:val="0"/>
                <w:iCs w:val="0"/>
                <w:color w:val="auto"/>
                <w:kern w:val="0"/>
                <w:sz w:val="22"/>
                <w:szCs w:val="22"/>
                <w:u w:val="none"/>
                <w:lang w:val="en-US" w:eastAsia="zh-CN" w:bidi="ar"/>
              </w:rPr>
              <w:br w:type="textWrapping"/>
            </w:r>
            <w:r>
              <w:rPr>
                <w:rFonts w:hint="default" w:ascii="Times New Roman" w:hAnsi="Times New Roman" w:eastAsia="宋体" w:cs="Times New Roman"/>
                <w:i w:val="0"/>
                <w:iCs w:val="0"/>
                <w:color w:val="auto"/>
                <w:kern w:val="0"/>
                <w:sz w:val="22"/>
                <w:szCs w:val="22"/>
                <w:u w:val="none"/>
                <w:lang w:val="en-US" w:eastAsia="zh-CN" w:bidi="ar"/>
              </w:rPr>
              <w:t>（</w:t>
            </w:r>
            <w:r>
              <w:rPr>
                <w:rFonts w:hint="default" w:ascii="Times New Roman" w:hAnsi="Times New Roman" w:cs="Times New Roman"/>
                <w:i w:val="0"/>
                <w:iCs w:val="0"/>
                <w:color w:val="auto"/>
                <w:kern w:val="0"/>
                <w:sz w:val="22"/>
                <w:szCs w:val="22"/>
                <w:u w:val="none"/>
                <w:lang w:val="en-US" w:eastAsia="zh-CN" w:bidi="ar"/>
              </w:rPr>
              <w:t>50</w:t>
            </w:r>
            <w:r>
              <w:rPr>
                <w:rFonts w:hint="default" w:ascii="Times New Roman" w:hAnsi="Times New Roman" w:eastAsia="宋体" w:cs="Times New Roman"/>
                <w:i w:val="0"/>
                <w:iCs w:val="0"/>
                <w:color w:val="auto"/>
                <w:kern w:val="0"/>
                <w:sz w:val="22"/>
                <w:szCs w:val="22"/>
                <w:u w:val="none"/>
                <w:lang w:val="en-US" w:eastAsia="zh-CN" w:bidi="ar"/>
              </w:rPr>
              <w:t>分）</w:t>
            </w:r>
          </w:p>
        </w:tc>
        <w:tc>
          <w:tcPr>
            <w:tcW w:w="3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申报单位成立1年及以上，以</w:t>
            </w:r>
            <w:r>
              <w:rPr>
                <w:rFonts w:hint="eastAsia" w:ascii="Times New Roman" w:hAnsi="Times New Roman" w:cs="Times New Roman"/>
                <w:i w:val="0"/>
                <w:iCs w:val="0"/>
                <w:color w:val="auto"/>
                <w:kern w:val="0"/>
                <w:sz w:val="22"/>
                <w:szCs w:val="22"/>
                <w:u w:val="none"/>
                <w:lang w:val="en-US" w:eastAsia="zh-CN" w:bidi="ar"/>
              </w:rPr>
              <w:t>生物医药</w:t>
            </w:r>
            <w:r>
              <w:rPr>
                <w:rFonts w:hint="default" w:ascii="Times New Roman" w:hAnsi="Times New Roman" w:eastAsia="宋体" w:cs="Times New Roman"/>
                <w:i w:val="0"/>
                <w:iCs w:val="0"/>
                <w:color w:val="auto"/>
                <w:kern w:val="0"/>
                <w:sz w:val="22"/>
                <w:szCs w:val="22"/>
                <w:u w:val="none"/>
                <w:lang w:val="en-US" w:eastAsia="zh-CN" w:bidi="ar"/>
              </w:rPr>
              <w:t>服务为主营业务</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8" w:hRule="atLeast"/>
          <w:jc w:val="center"/>
        </w:trPr>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2</w:t>
            </w:r>
          </w:p>
        </w:tc>
        <w:tc>
          <w:tcPr>
            <w:tcW w:w="1268" w:type="dxa"/>
            <w:vMerge w:val="continue"/>
            <w:tcBorders>
              <w:left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auto"/>
                <w:sz w:val="22"/>
                <w:szCs w:val="22"/>
                <w:u w:val="none"/>
              </w:rPr>
            </w:pPr>
          </w:p>
        </w:tc>
        <w:tc>
          <w:tcPr>
            <w:tcW w:w="3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申报单位有固定的工作场所，有较好的</w:t>
            </w:r>
            <w:r>
              <w:rPr>
                <w:rFonts w:hint="eastAsia" w:ascii="Times New Roman" w:hAnsi="Times New Roman" w:cs="Times New Roman"/>
                <w:i w:val="0"/>
                <w:iCs w:val="0"/>
                <w:color w:val="auto"/>
                <w:kern w:val="0"/>
                <w:sz w:val="22"/>
                <w:szCs w:val="22"/>
                <w:u w:val="none"/>
                <w:lang w:val="en-US" w:eastAsia="zh-CN" w:bidi="ar"/>
              </w:rPr>
              <w:t>生物医药研发、试验</w:t>
            </w:r>
            <w:r>
              <w:rPr>
                <w:rFonts w:hint="default" w:ascii="Times New Roman" w:hAnsi="Times New Roman" w:eastAsia="宋体" w:cs="Times New Roman"/>
                <w:i w:val="0"/>
                <w:iCs w:val="0"/>
                <w:color w:val="auto"/>
                <w:kern w:val="0"/>
                <w:sz w:val="22"/>
                <w:szCs w:val="22"/>
                <w:u w:val="none"/>
                <w:lang w:val="en-US" w:eastAsia="zh-CN" w:bidi="ar"/>
              </w:rPr>
              <w:t>条件和基础设施</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lang w:val="en-US"/>
              </w:rPr>
            </w:pPr>
            <w:r>
              <w:rPr>
                <w:rFonts w:hint="default" w:ascii="Times New Roman" w:hAnsi="Times New Roman" w:cs="Times New Roman"/>
                <w:i w:val="0"/>
                <w:iCs w:val="0"/>
                <w:color w:val="auto"/>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9" w:hRule="atLeast"/>
          <w:jc w:val="center"/>
        </w:trPr>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3</w:t>
            </w:r>
          </w:p>
        </w:tc>
        <w:tc>
          <w:tcPr>
            <w:tcW w:w="1268" w:type="dxa"/>
            <w:vMerge w:val="continue"/>
            <w:tcBorders>
              <w:left w:val="single" w:color="000000" w:sz="4" w:space="0"/>
              <w:right w:val="single" w:color="000000" w:sz="4" w:space="0"/>
            </w:tcBorders>
            <w:shd w:val="clear" w:color="auto" w:fill="auto"/>
            <w:vAlign w:val="center"/>
          </w:tcPr>
          <w:p>
            <w:pPr>
              <w:rPr>
                <w:rFonts w:hint="default" w:ascii="Times New Roman" w:hAnsi="Times New Roman" w:eastAsia="宋体" w:cs="Times New Roman"/>
                <w:i w:val="0"/>
                <w:iCs w:val="0"/>
                <w:color w:val="auto"/>
                <w:sz w:val="22"/>
                <w:szCs w:val="22"/>
                <w:u w:val="none"/>
              </w:rPr>
            </w:pPr>
          </w:p>
        </w:tc>
        <w:tc>
          <w:tcPr>
            <w:tcW w:w="3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申报单位具备</w:t>
            </w:r>
            <w:r>
              <w:rPr>
                <w:rFonts w:hint="eastAsia" w:ascii="Times New Roman" w:hAnsi="Times New Roman" w:cs="Times New Roman"/>
                <w:i w:val="0"/>
                <w:iCs w:val="0"/>
                <w:color w:val="auto"/>
                <w:kern w:val="0"/>
                <w:sz w:val="22"/>
                <w:szCs w:val="22"/>
                <w:u w:val="none"/>
                <w:lang w:val="en-US" w:eastAsia="zh-CN" w:bidi="ar"/>
              </w:rPr>
              <w:t>生物医药服务</w:t>
            </w:r>
            <w:r>
              <w:rPr>
                <w:rFonts w:hint="default" w:ascii="Times New Roman" w:hAnsi="Times New Roman" w:eastAsia="宋体" w:cs="Times New Roman"/>
                <w:i w:val="0"/>
                <w:iCs w:val="0"/>
                <w:color w:val="auto"/>
                <w:kern w:val="0"/>
                <w:sz w:val="22"/>
                <w:szCs w:val="22"/>
                <w:u w:val="none"/>
                <w:lang w:val="en-US" w:eastAsia="zh-CN" w:bidi="ar"/>
              </w:rPr>
              <w:t>报价体系、组织体系完善，机制健全、管理科学、发展规划和目标明确</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lang w:val="en-US"/>
              </w:rPr>
            </w:pPr>
            <w:r>
              <w:rPr>
                <w:rFonts w:hint="default" w:ascii="Times New Roman" w:hAnsi="Times New Roman" w:cs="Times New Roman"/>
                <w:i w:val="0"/>
                <w:iCs w:val="0"/>
                <w:color w:val="auto"/>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9" w:hRule="atLeast"/>
          <w:jc w:val="center"/>
        </w:trPr>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4</w:t>
            </w:r>
          </w:p>
        </w:tc>
        <w:tc>
          <w:tcPr>
            <w:tcW w:w="1268" w:type="dxa"/>
            <w:vMerge w:val="continue"/>
            <w:tcBorders>
              <w:left w:val="single" w:color="000000" w:sz="4" w:space="0"/>
              <w:right w:val="single" w:color="000000" w:sz="4" w:space="0"/>
            </w:tcBorders>
            <w:shd w:val="clear" w:color="auto" w:fill="auto"/>
            <w:vAlign w:val="center"/>
          </w:tcPr>
          <w:p>
            <w:pPr>
              <w:rPr>
                <w:rFonts w:hint="default" w:ascii="Times New Roman" w:hAnsi="Times New Roman" w:eastAsia="宋体" w:cs="Times New Roman"/>
                <w:i w:val="0"/>
                <w:iCs w:val="0"/>
                <w:color w:val="auto"/>
                <w:sz w:val="22"/>
                <w:szCs w:val="22"/>
                <w:u w:val="none"/>
              </w:rPr>
            </w:pPr>
          </w:p>
        </w:tc>
        <w:tc>
          <w:tcPr>
            <w:tcW w:w="3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申报单位</w:t>
            </w:r>
            <w:r>
              <w:rPr>
                <w:rFonts w:hint="eastAsia" w:ascii="Times New Roman" w:hAnsi="Times New Roman" w:cs="Times New Roman"/>
                <w:i w:val="0"/>
                <w:iCs w:val="0"/>
                <w:color w:val="auto"/>
                <w:kern w:val="0"/>
                <w:sz w:val="22"/>
                <w:szCs w:val="22"/>
                <w:u w:val="none"/>
                <w:lang w:val="en-US" w:eastAsia="zh-CN" w:bidi="ar"/>
              </w:rPr>
              <w:t>生物医药</w:t>
            </w:r>
            <w:r>
              <w:rPr>
                <w:rFonts w:hint="default" w:ascii="Times New Roman" w:hAnsi="Times New Roman" w:eastAsia="宋体" w:cs="Times New Roman"/>
                <w:i w:val="0"/>
                <w:iCs w:val="0"/>
                <w:color w:val="auto"/>
                <w:kern w:val="0"/>
                <w:sz w:val="22"/>
                <w:szCs w:val="22"/>
                <w:u w:val="none"/>
                <w:lang w:val="en-US" w:eastAsia="zh-CN" w:bidi="ar"/>
              </w:rPr>
              <w:t>从业人员不少于</w:t>
            </w:r>
            <w:r>
              <w:rPr>
                <w:rFonts w:hint="eastAsia" w:ascii="Times New Roman" w:hAnsi="Times New Roman" w:cs="Times New Roman"/>
                <w:i w:val="0"/>
                <w:iCs w:val="0"/>
                <w:color w:val="auto"/>
                <w:kern w:val="0"/>
                <w:sz w:val="22"/>
                <w:szCs w:val="22"/>
                <w:u w:val="none"/>
                <w:lang w:val="en-US" w:eastAsia="zh-CN" w:bidi="ar"/>
              </w:rPr>
              <w:t>10</w:t>
            </w:r>
            <w:r>
              <w:rPr>
                <w:rFonts w:hint="default" w:ascii="Times New Roman" w:hAnsi="Times New Roman" w:eastAsia="宋体" w:cs="Times New Roman"/>
                <w:i w:val="0"/>
                <w:iCs w:val="0"/>
                <w:color w:val="auto"/>
                <w:kern w:val="0"/>
                <w:sz w:val="22"/>
                <w:szCs w:val="22"/>
                <w:u w:val="none"/>
                <w:lang w:val="en-US" w:eastAsia="zh-CN" w:bidi="ar"/>
              </w:rPr>
              <w:t>人，其中具有大学本科及以上学历或具有中级</w:t>
            </w:r>
            <w:r>
              <w:rPr>
                <w:rFonts w:hint="eastAsia" w:ascii="Times New Roman" w:hAnsi="Times New Roman" w:cs="Times New Roman"/>
                <w:i w:val="0"/>
                <w:iCs w:val="0"/>
                <w:color w:val="auto"/>
                <w:kern w:val="0"/>
                <w:sz w:val="22"/>
                <w:szCs w:val="22"/>
                <w:u w:val="none"/>
                <w:lang w:val="en-US" w:eastAsia="zh-CN" w:bidi="ar"/>
              </w:rPr>
              <w:t>职称</w:t>
            </w:r>
            <w:r>
              <w:rPr>
                <w:rFonts w:hint="default" w:ascii="Times New Roman" w:hAnsi="Times New Roman" w:eastAsia="宋体" w:cs="Times New Roman"/>
                <w:i w:val="0"/>
                <w:iCs w:val="0"/>
                <w:color w:val="auto"/>
                <w:kern w:val="0"/>
                <w:sz w:val="22"/>
                <w:szCs w:val="22"/>
                <w:u w:val="none"/>
                <w:lang w:val="en-US" w:eastAsia="zh-CN" w:bidi="ar"/>
              </w:rPr>
              <w:t>及以上资质的技术人员不低于50%</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3" w:hRule="atLeast"/>
          <w:jc w:val="center"/>
        </w:trPr>
        <w:tc>
          <w:tcPr>
            <w:tcW w:w="993"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5</w:t>
            </w:r>
          </w:p>
        </w:tc>
        <w:tc>
          <w:tcPr>
            <w:tcW w:w="1268" w:type="dxa"/>
            <w:vMerge w:val="continue"/>
            <w:tcBorders>
              <w:left w:val="single" w:color="000000" w:sz="4" w:space="0"/>
              <w:bottom w:val="single" w:color="auto" w:sz="4" w:space="0"/>
              <w:right w:val="single" w:color="000000" w:sz="4" w:space="0"/>
            </w:tcBorders>
            <w:shd w:val="clear" w:color="auto" w:fill="auto"/>
            <w:vAlign w:val="center"/>
          </w:tcPr>
          <w:p>
            <w:pPr>
              <w:rPr>
                <w:rFonts w:hint="default" w:ascii="Times New Roman" w:hAnsi="Times New Roman" w:eastAsia="宋体" w:cs="Times New Roman"/>
                <w:i w:val="0"/>
                <w:iCs w:val="0"/>
                <w:color w:val="auto"/>
                <w:sz w:val="22"/>
                <w:szCs w:val="22"/>
                <w:u w:val="none"/>
              </w:rPr>
            </w:pPr>
          </w:p>
        </w:tc>
        <w:tc>
          <w:tcPr>
            <w:tcW w:w="3905"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申报单位重视人才队伍建设，队伍结构合理，团队带头人业绩突出</w:t>
            </w:r>
          </w:p>
        </w:tc>
        <w:tc>
          <w:tcPr>
            <w:tcW w:w="1227"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9" w:hRule="atLeast"/>
          <w:jc w:val="center"/>
        </w:trPr>
        <w:tc>
          <w:tcPr>
            <w:tcW w:w="993"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6</w:t>
            </w:r>
          </w:p>
        </w:tc>
        <w:tc>
          <w:tcPr>
            <w:tcW w:w="1268" w:type="dxa"/>
            <w:vMerge w:val="restart"/>
            <w:tcBorders>
              <w:top w:val="single" w:color="auto"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运营成效</w:t>
            </w:r>
            <w:r>
              <w:rPr>
                <w:rFonts w:hint="default" w:ascii="Times New Roman" w:hAnsi="Times New Roman" w:eastAsia="宋体" w:cs="Times New Roman"/>
                <w:i w:val="0"/>
                <w:iCs w:val="0"/>
                <w:color w:val="auto"/>
                <w:kern w:val="0"/>
                <w:sz w:val="22"/>
                <w:szCs w:val="22"/>
                <w:u w:val="none"/>
                <w:lang w:val="en-US" w:eastAsia="zh-CN" w:bidi="ar"/>
              </w:rPr>
              <w:br w:type="textWrapping"/>
            </w:r>
            <w:r>
              <w:rPr>
                <w:rFonts w:hint="default" w:ascii="Times New Roman" w:hAnsi="Times New Roman" w:eastAsia="宋体" w:cs="Times New Roman"/>
                <w:i w:val="0"/>
                <w:iCs w:val="0"/>
                <w:color w:val="auto"/>
                <w:kern w:val="0"/>
                <w:sz w:val="22"/>
                <w:szCs w:val="22"/>
                <w:u w:val="none"/>
                <w:lang w:val="en-US" w:eastAsia="zh-CN" w:bidi="ar"/>
              </w:rPr>
              <w:t>（</w:t>
            </w:r>
            <w:r>
              <w:rPr>
                <w:rFonts w:hint="eastAsia" w:ascii="Times New Roman" w:hAnsi="Times New Roman" w:cs="Times New Roman"/>
                <w:i w:val="0"/>
                <w:iCs w:val="0"/>
                <w:color w:val="auto"/>
                <w:kern w:val="0"/>
                <w:sz w:val="22"/>
                <w:szCs w:val="22"/>
                <w:u w:val="none"/>
                <w:lang w:val="en-US" w:eastAsia="zh-CN" w:bidi="ar"/>
              </w:rPr>
              <w:t>50</w:t>
            </w:r>
            <w:r>
              <w:rPr>
                <w:rFonts w:hint="default" w:ascii="Times New Roman" w:hAnsi="Times New Roman" w:eastAsia="宋体" w:cs="Times New Roman"/>
                <w:i w:val="0"/>
                <w:iCs w:val="0"/>
                <w:color w:val="auto"/>
                <w:kern w:val="0"/>
                <w:sz w:val="22"/>
                <w:szCs w:val="22"/>
                <w:u w:val="none"/>
                <w:lang w:val="en-US" w:eastAsia="zh-CN" w:bidi="ar"/>
              </w:rPr>
              <w:t>分）</w:t>
            </w:r>
          </w:p>
        </w:tc>
        <w:tc>
          <w:tcPr>
            <w:tcW w:w="3905"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auto"/>
                <w:sz w:val="22"/>
                <w:szCs w:val="22"/>
                <w:u w:val="none"/>
                <w:lang w:val="en-US"/>
              </w:rPr>
            </w:pPr>
            <w:r>
              <w:rPr>
                <w:rFonts w:hint="default" w:ascii="Times New Roman" w:hAnsi="Times New Roman" w:eastAsia="宋体" w:cs="Times New Roman"/>
                <w:i w:val="0"/>
                <w:iCs w:val="0"/>
                <w:color w:val="auto"/>
                <w:kern w:val="0"/>
                <w:sz w:val="22"/>
                <w:szCs w:val="22"/>
                <w:u w:val="none"/>
                <w:lang w:val="en-US" w:eastAsia="zh-CN" w:bidi="ar"/>
              </w:rPr>
              <w:t>申报单位获得</w:t>
            </w:r>
            <w:r>
              <w:rPr>
                <w:rFonts w:hint="eastAsia" w:ascii="Times New Roman" w:hAnsi="Times New Roman" w:cs="Times New Roman"/>
                <w:i w:val="0"/>
                <w:iCs w:val="0"/>
                <w:color w:val="auto"/>
                <w:kern w:val="0"/>
                <w:sz w:val="22"/>
                <w:szCs w:val="22"/>
                <w:u w:val="none"/>
                <w:lang w:val="en-US" w:eastAsia="zh-CN" w:bidi="ar"/>
              </w:rPr>
              <w:t>的知识产权情况</w:t>
            </w:r>
          </w:p>
        </w:tc>
        <w:tc>
          <w:tcPr>
            <w:tcW w:w="1227"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0" w:hRule="atLeast"/>
          <w:jc w:val="center"/>
        </w:trPr>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7</w:t>
            </w:r>
          </w:p>
        </w:tc>
        <w:tc>
          <w:tcPr>
            <w:tcW w:w="1268"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p>
        </w:tc>
        <w:tc>
          <w:tcPr>
            <w:tcW w:w="3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申报单位</w:t>
            </w:r>
            <w:r>
              <w:rPr>
                <w:rFonts w:hint="eastAsia" w:ascii="Times New Roman" w:hAnsi="Times New Roman" w:cs="Times New Roman"/>
                <w:i w:val="0"/>
                <w:iCs w:val="0"/>
                <w:color w:val="auto"/>
                <w:kern w:val="0"/>
                <w:sz w:val="22"/>
                <w:szCs w:val="22"/>
                <w:u w:val="none"/>
                <w:lang w:val="en-US" w:eastAsia="zh-CN" w:bidi="ar"/>
              </w:rPr>
              <w:t>近两年度具有较好的业绩基础</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1</w:t>
            </w:r>
            <w:r>
              <w:rPr>
                <w:rFonts w:hint="eastAsia" w:ascii="Times New Roman" w:hAnsi="Times New Roman" w:cs="Times New Roman"/>
                <w:i w:val="0"/>
                <w:iCs w:val="0"/>
                <w:color w:val="auto"/>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3" w:hRule="atLeast"/>
          <w:jc w:val="center"/>
        </w:trPr>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9</w:t>
            </w:r>
          </w:p>
        </w:tc>
        <w:tc>
          <w:tcPr>
            <w:tcW w:w="1268" w:type="dxa"/>
            <w:vMerge w:val="continue"/>
            <w:tcBorders>
              <w:left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auto"/>
                <w:sz w:val="22"/>
                <w:szCs w:val="22"/>
                <w:u w:val="none"/>
              </w:rPr>
            </w:pPr>
          </w:p>
        </w:tc>
        <w:tc>
          <w:tcPr>
            <w:tcW w:w="3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申报单位</w:t>
            </w:r>
            <w:r>
              <w:rPr>
                <w:rFonts w:hint="eastAsia" w:ascii="Times New Roman" w:hAnsi="Times New Roman" w:cs="Times New Roman"/>
                <w:i w:val="0"/>
                <w:iCs w:val="0"/>
                <w:color w:val="auto"/>
                <w:kern w:val="0"/>
                <w:sz w:val="22"/>
                <w:szCs w:val="22"/>
                <w:u w:val="none"/>
                <w:lang w:val="en-US" w:eastAsia="zh-CN" w:bidi="ar"/>
              </w:rPr>
              <w:t>服务成果</w:t>
            </w:r>
            <w:r>
              <w:rPr>
                <w:rFonts w:hint="default" w:ascii="Times New Roman" w:hAnsi="Times New Roman" w:eastAsia="宋体" w:cs="Times New Roman"/>
                <w:i w:val="0"/>
                <w:iCs w:val="0"/>
                <w:color w:val="auto"/>
                <w:kern w:val="0"/>
                <w:sz w:val="22"/>
                <w:szCs w:val="22"/>
                <w:u w:val="none"/>
                <w:lang w:val="en-US" w:eastAsia="zh-CN" w:bidi="ar"/>
              </w:rPr>
              <w:t>取得较好的效益</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53" w:hRule="atLeast"/>
          <w:jc w:val="center"/>
        </w:trPr>
        <w:tc>
          <w:tcPr>
            <w:tcW w:w="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10</w:t>
            </w:r>
          </w:p>
        </w:tc>
        <w:tc>
          <w:tcPr>
            <w:tcW w:w="1268" w:type="dxa"/>
            <w:vMerge w:val="continue"/>
            <w:tcBorders>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auto"/>
                <w:sz w:val="22"/>
                <w:szCs w:val="22"/>
                <w:u w:val="none"/>
              </w:rPr>
            </w:pPr>
          </w:p>
        </w:tc>
        <w:tc>
          <w:tcPr>
            <w:tcW w:w="3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申报单位</w:t>
            </w:r>
            <w:r>
              <w:rPr>
                <w:rFonts w:hint="eastAsia" w:ascii="Times New Roman" w:hAnsi="Times New Roman" w:cs="Times New Roman"/>
                <w:i w:val="0"/>
                <w:iCs w:val="0"/>
                <w:color w:val="auto"/>
                <w:kern w:val="0"/>
                <w:sz w:val="22"/>
                <w:szCs w:val="22"/>
                <w:u w:val="none"/>
                <w:lang w:val="en-US" w:eastAsia="zh-CN" w:bidi="ar"/>
              </w:rPr>
              <w:t>生物医药</w:t>
            </w:r>
            <w:r>
              <w:rPr>
                <w:rFonts w:hint="default" w:ascii="Times New Roman" w:hAnsi="Times New Roman" w:eastAsia="宋体" w:cs="Times New Roman"/>
                <w:i w:val="0"/>
                <w:iCs w:val="0"/>
                <w:color w:val="auto"/>
                <w:kern w:val="0"/>
                <w:sz w:val="22"/>
                <w:szCs w:val="22"/>
                <w:u w:val="none"/>
                <w:lang w:val="en-US" w:eastAsia="zh-CN" w:bidi="ar"/>
              </w:rPr>
              <w:t>服务能力、创新能力</w:t>
            </w:r>
            <w:r>
              <w:rPr>
                <w:rFonts w:hint="eastAsia" w:ascii="Times New Roman" w:hAnsi="Times New Roman" w:cs="Times New Roman"/>
                <w:i w:val="0"/>
                <w:iCs w:val="0"/>
                <w:color w:val="auto"/>
                <w:kern w:val="0"/>
                <w:sz w:val="22"/>
                <w:szCs w:val="22"/>
                <w:u w:val="none"/>
                <w:lang w:val="en-US" w:eastAsia="zh-CN" w:bidi="ar"/>
              </w:rPr>
              <w:t>、研发及试验能力</w:t>
            </w:r>
            <w:r>
              <w:rPr>
                <w:rFonts w:hint="default" w:ascii="Times New Roman" w:hAnsi="Times New Roman" w:eastAsia="宋体" w:cs="Times New Roman"/>
                <w:i w:val="0"/>
                <w:iCs w:val="0"/>
                <w:color w:val="auto"/>
                <w:kern w:val="0"/>
                <w:sz w:val="22"/>
                <w:szCs w:val="22"/>
                <w:u w:val="none"/>
                <w:lang w:val="en-US" w:eastAsia="zh-CN" w:bidi="ar"/>
              </w:rPr>
              <w:t>较强</w:t>
            </w:r>
          </w:p>
        </w:tc>
        <w:tc>
          <w:tcPr>
            <w:tcW w:w="12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2"/>
                <w:szCs w:val="22"/>
                <w:u w:val="none"/>
                <w:lang w:val="en-US"/>
              </w:rPr>
            </w:pPr>
            <w:r>
              <w:rPr>
                <w:rFonts w:hint="eastAsia" w:ascii="Times New Roman" w:hAnsi="Times New Roman" w:cs="Times New Roman"/>
                <w:i w:val="0"/>
                <w:iCs w:val="0"/>
                <w:color w:val="auto"/>
                <w:kern w:val="0"/>
                <w:sz w:val="22"/>
                <w:szCs w:val="22"/>
                <w:u w:val="none"/>
                <w:lang w:val="en-US" w:eastAsia="zh-CN" w:bidi="ar"/>
              </w:rPr>
              <w:t>15</w:t>
            </w:r>
          </w:p>
        </w:tc>
      </w:tr>
    </w:tbl>
    <w:p>
      <w:pPr>
        <w:rPr>
          <w:rFonts w:hint="default" w:ascii="Times New Roman" w:hAnsi="Times New Roman" w:cs="Times New Roman"/>
          <w:color w:val="auto"/>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left"/>
        <w:textAlignment w:val="auto"/>
        <w:rPr>
          <w:rFonts w:hint="default" w:ascii="Times New Roman" w:hAnsi="Times New Roman" w:eastAsia="黑体" w:cs="Times New Roman"/>
          <w:i w:val="0"/>
          <w:caps w:val="0"/>
          <w:color w:val="auto"/>
          <w:spacing w:val="0"/>
          <w:sz w:val="32"/>
          <w:szCs w:val="32"/>
          <w:shd w:val="clear" w:color="auto" w:fill="auto"/>
          <w:lang w:eastAsia="zh-CN"/>
        </w:rPr>
      </w:pPr>
      <w:r>
        <w:rPr>
          <w:rFonts w:hint="default" w:ascii="Times New Roman" w:hAnsi="Times New Roman" w:eastAsia="黑体" w:cs="Times New Roman"/>
          <w:i w:val="0"/>
          <w:caps w:val="0"/>
          <w:color w:val="auto"/>
          <w:spacing w:val="0"/>
          <w:sz w:val="32"/>
          <w:szCs w:val="32"/>
          <w:shd w:val="clear" w:color="auto" w:fill="auto"/>
          <w:lang w:eastAsia="zh-CN"/>
        </w:rPr>
        <w:t>三</w:t>
      </w:r>
      <w:r>
        <w:rPr>
          <w:rFonts w:hint="default" w:ascii="Times New Roman" w:hAnsi="Times New Roman" w:eastAsia="黑体" w:cs="Times New Roman"/>
          <w:i w:val="0"/>
          <w:caps w:val="0"/>
          <w:color w:val="auto"/>
          <w:spacing w:val="0"/>
          <w:sz w:val="32"/>
          <w:szCs w:val="32"/>
          <w:shd w:val="clear" w:color="auto" w:fill="auto"/>
        </w:rPr>
        <w:t>、</w:t>
      </w:r>
      <w:r>
        <w:rPr>
          <w:rFonts w:hint="default" w:ascii="Times New Roman" w:hAnsi="Times New Roman" w:eastAsia="黑体" w:cs="Times New Roman"/>
          <w:i w:val="0"/>
          <w:caps w:val="0"/>
          <w:color w:val="auto"/>
          <w:spacing w:val="0"/>
          <w:sz w:val="32"/>
          <w:szCs w:val="32"/>
          <w:shd w:val="clear" w:color="auto" w:fill="auto"/>
          <w:lang w:eastAsia="zh-CN"/>
        </w:rPr>
        <w:t>评审原则</w:t>
      </w:r>
    </w:p>
    <w:p>
      <w:pPr>
        <w:ind w:firstLine="616" w:firstLineChars="200"/>
        <w:rPr>
          <w:rFonts w:hint="default" w:ascii="Times New Roman" w:hAnsi="Times New Roman" w:eastAsia="宋体" w:cs="Times New Roman"/>
          <w:b/>
          <w:bCs/>
          <w:color w:val="auto"/>
          <w:lang w:val="en-US" w:eastAsia="zh-CN"/>
        </w:rPr>
      </w:pPr>
      <w:r>
        <w:rPr>
          <w:rFonts w:hint="default" w:ascii="Times New Roman" w:hAnsi="Times New Roman" w:eastAsia="仿宋_GB2312" w:cs="Times New Roman"/>
          <w:b w:val="0"/>
          <w:bCs/>
          <w:color w:val="auto"/>
          <w:spacing w:val="-6"/>
          <w:sz w:val="32"/>
          <w:szCs w:val="32"/>
          <w:lang w:val="en-US" w:eastAsia="zh-CN"/>
        </w:rPr>
        <w:t>各项指标均按整数打分，满分为100分，综合得分达到70分以上（不含70分）为符合认定要求。</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jYWUyYWY0ZTI4N2U2YWRmZDMzNDA1NzAxZmVhNjkifQ=="/>
  </w:docVars>
  <w:rsids>
    <w:rsidRoot w:val="7CB26266"/>
    <w:rsid w:val="0F8C6A1B"/>
    <w:rsid w:val="11E95549"/>
    <w:rsid w:val="14B44887"/>
    <w:rsid w:val="152622B2"/>
    <w:rsid w:val="1CFC6C38"/>
    <w:rsid w:val="217779EC"/>
    <w:rsid w:val="2A163DA3"/>
    <w:rsid w:val="32DF6F75"/>
    <w:rsid w:val="379F04AB"/>
    <w:rsid w:val="398B76D3"/>
    <w:rsid w:val="3A6A28F2"/>
    <w:rsid w:val="41AA1045"/>
    <w:rsid w:val="4F4122A2"/>
    <w:rsid w:val="52834271"/>
    <w:rsid w:val="536C61AC"/>
    <w:rsid w:val="55236D3E"/>
    <w:rsid w:val="592F36FE"/>
    <w:rsid w:val="59546281"/>
    <w:rsid w:val="5AF16BAF"/>
    <w:rsid w:val="5BE86DFF"/>
    <w:rsid w:val="5C7D2097"/>
    <w:rsid w:val="5E14026E"/>
    <w:rsid w:val="656F169A"/>
    <w:rsid w:val="662672CE"/>
    <w:rsid w:val="6CB54CCA"/>
    <w:rsid w:val="6F7A45DD"/>
    <w:rsid w:val="6FA34141"/>
    <w:rsid w:val="7CB26266"/>
    <w:rsid w:val="7F892B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toc 2"/>
    <w:basedOn w:val="1"/>
    <w:next w:val="1"/>
    <w:qFormat/>
    <w:uiPriority w:val="0"/>
    <w:pPr>
      <w:ind w:left="420" w:leftChars="200"/>
    </w:p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 w:type="paragraph" w:customStyle="1" w:styleId="6">
    <w:name w:val="普通(网站) New New"/>
    <w:basedOn w:val="7"/>
    <w:qFormat/>
    <w:uiPriority w:val="0"/>
    <w:pPr>
      <w:widowControl/>
      <w:spacing w:before="100" w:beforeLines="0" w:beforeAutospacing="1" w:after="100" w:afterLines="0" w:afterAutospacing="1"/>
      <w:jc w:val="left"/>
    </w:pPr>
    <w:rPr>
      <w:rFonts w:ascii="宋体" w:hAnsi="宋体" w:cs="宋体"/>
      <w:kern w:val="0"/>
      <w:sz w:val="24"/>
    </w:rPr>
  </w:style>
  <w:style w:type="paragraph" w:customStyle="1" w:styleId="7">
    <w:name w:val="正文 New New New New New New New"/>
    <w:qFormat/>
    <w:uiPriority w:val="0"/>
    <w:pPr>
      <w:widowControl w:val="0"/>
      <w:jc w:val="both"/>
    </w:pPr>
    <w:rPr>
      <w:rFonts w:ascii="Times New Roman" w:hAnsi="Times New Roman" w:eastAsia="宋体" w:cs="Times New Roman"/>
      <w:kern w:val="2"/>
      <w:sz w:val="21"/>
      <w:lang w:val="en-US" w:eastAsia="zh-CN"/>
    </w:rPr>
  </w:style>
  <w:style w:type="character" w:customStyle="1" w:styleId="8">
    <w:name w:val="font11"/>
    <w:basedOn w:val="5"/>
    <w:qFormat/>
    <w:uiPriority w:val="0"/>
    <w:rPr>
      <w:rFonts w:hint="eastAsia" w:ascii="宋体" w:hAnsi="宋体" w:eastAsia="宋体" w:cs="宋体"/>
      <w:b/>
      <w:bCs/>
      <w:color w:val="000000"/>
      <w:sz w:val="22"/>
      <w:szCs w:val="22"/>
      <w:u w:val="none"/>
    </w:rPr>
  </w:style>
  <w:style w:type="character" w:customStyle="1" w:styleId="9">
    <w:name w:val="font01"/>
    <w:basedOn w:val="5"/>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1782</Words>
  <Characters>1944</Characters>
  <Lines>0</Lines>
  <Paragraphs>0</Paragraphs>
  <TotalTime>9</TotalTime>
  <ScaleCrop>false</ScaleCrop>
  <LinksUpToDate>false</LinksUpToDate>
  <CharactersWithSpaces>1951</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2022-01-13T09:22:00Z</dcterms:created>
  <dc:creator>超人</dc:creator>
  <cp:lastModifiedBy>超人</cp:lastModifiedBy>
  <cp:lastPrinted>2022-04-19T06:41:00Z</cp:lastPrinted>
  <dcterms:modified xsi:type="dcterms:W3CDTF">2022-08-31T08:48:03Z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C7F532AD87804B7D9E50268367764D85</vt:lpwstr>
  </property>
</Properties>
</file>