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w:t>
      </w:r>
      <w:bookmarkStart w:id="0" w:name="_GoBack"/>
      <w:bookmarkEnd w:id="0"/>
    </w:p>
    <w:p>
      <w:pPr>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2023年中央财政科技馆免费开放补助</w:t>
      </w:r>
    </w:p>
    <w:p>
      <w:pPr>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资金分配实施方案</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w:t>
      </w:r>
      <w:r>
        <w:rPr>
          <w:rFonts w:hint="eastAsia" w:ascii="仿宋" w:hAnsi="仿宋" w:eastAsia="仿宋" w:cs="仿宋"/>
          <w:color w:val="auto"/>
          <w:sz w:val="32"/>
          <w:szCs w:val="32"/>
          <w:lang w:val="en-US" w:eastAsia="zh-CN"/>
        </w:rPr>
        <w:t>《中国科协 中宣部 财政部关于全国科技馆免费开放的通知》（科协发普字</w:t>
      </w:r>
      <w:r>
        <w:rPr>
          <w:rFonts w:hint="eastAsia" w:ascii="仿宋_GB2312" w:hAnsi="仿宋_GB2312" w:eastAsia="仿宋_GB2312" w:cs="仿宋_GB2312"/>
          <w:color w:val="auto"/>
          <w:sz w:val="32"/>
          <w:szCs w:val="32"/>
          <w:lang w:val="en-US" w:eastAsia="zh-CN"/>
        </w:rPr>
        <w:t>〔</w:t>
      </w:r>
      <w:r>
        <w:rPr>
          <w:rFonts w:hint="eastAsia" w:ascii="仿宋" w:hAnsi="仿宋" w:eastAsia="仿宋" w:cs="仿宋"/>
          <w:color w:val="auto"/>
          <w:sz w:val="32"/>
          <w:szCs w:val="32"/>
          <w:lang w:val="en-US" w:eastAsia="zh-CN"/>
        </w:rPr>
        <w:t>2015</w:t>
      </w:r>
      <w:r>
        <w:rPr>
          <w:rFonts w:hint="eastAsia" w:ascii="仿宋_GB2312" w:hAnsi="仿宋_GB2312" w:eastAsia="仿宋_GB2312" w:cs="仿宋_GB2312"/>
          <w:color w:val="auto"/>
          <w:sz w:val="32"/>
          <w:szCs w:val="32"/>
          <w:lang w:val="en-US" w:eastAsia="zh-CN"/>
        </w:rPr>
        <w:t>〕</w:t>
      </w:r>
      <w:r>
        <w:rPr>
          <w:rFonts w:hint="eastAsia" w:ascii="仿宋" w:hAnsi="仿宋" w:eastAsia="仿宋" w:cs="仿宋"/>
          <w:color w:val="auto"/>
          <w:sz w:val="32"/>
          <w:szCs w:val="32"/>
          <w:lang w:val="en-US" w:eastAsia="zh-CN"/>
        </w:rPr>
        <w:t>20号）、</w:t>
      </w:r>
      <w:r>
        <w:rPr>
          <w:rFonts w:hint="eastAsia" w:ascii="仿宋" w:hAnsi="仿宋" w:eastAsia="仿宋" w:cs="仿宋"/>
          <w:sz w:val="32"/>
          <w:szCs w:val="32"/>
          <w:lang w:val="en-US" w:eastAsia="zh-CN"/>
        </w:rPr>
        <w:t>《广东省人民政府关于加强统筹进一步深化预算管理制度改革的实施意见》（粤府</w:t>
      </w:r>
      <w:r>
        <w:rPr>
          <w:rFonts w:hint="eastAsia" w:ascii="仿宋_GB2312" w:hAnsi="仿宋_GB2312" w:eastAsia="仿宋_GB2312" w:cs="仿宋_GB2312"/>
          <w:sz w:val="32"/>
          <w:szCs w:val="32"/>
          <w:lang w:val="en-US" w:eastAsia="zh-CN"/>
        </w:rPr>
        <w:t>〔</w:t>
      </w:r>
      <w:r>
        <w:rPr>
          <w:rFonts w:hint="eastAsia" w:ascii="仿宋" w:hAnsi="仿宋" w:eastAsia="仿宋" w:cs="仿宋"/>
          <w:sz w:val="32"/>
          <w:szCs w:val="32"/>
          <w:lang w:val="en-US" w:eastAsia="zh-CN"/>
        </w:rPr>
        <w:t>2021</w:t>
      </w:r>
      <w:r>
        <w:rPr>
          <w:rFonts w:hint="eastAsia" w:ascii="仿宋_GB2312" w:hAnsi="仿宋_GB2312" w:eastAsia="仿宋_GB2312" w:cs="仿宋_GB2312"/>
          <w:sz w:val="32"/>
          <w:szCs w:val="32"/>
          <w:lang w:val="en-US" w:eastAsia="zh-CN"/>
        </w:rPr>
        <w:t>〕</w:t>
      </w:r>
      <w:r>
        <w:rPr>
          <w:rFonts w:hint="eastAsia" w:ascii="仿宋" w:hAnsi="仿宋" w:eastAsia="仿宋" w:cs="仿宋"/>
          <w:sz w:val="32"/>
          <w:szCs w:val="32"/>
          <w:lang w:val="en-US" w:eastAsia="zh-CN"/>
        </w:rPr>
        <w:t>34号）和《广东省中央补助地方科技馆免费开放资金管理实施细则》等文件要求，为做好2023年财政部下达科技馆免费开放补助资金分配工作，制定本实施方案。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一、指导思想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olor w:val="000000"/>
          <w:sz w:val="32"/>
          <w:szCs w:val="32"/>
        </w:rPr>
      </w:pPr>
      <w:r>
        <w:rPr>
          <w:rFonts w:hint="eastAsia" w:ascii="仿宋" w:hAnsi="仿宋" w:eastAsia="仿宋" w:cs="仿宋"/>
          <w:sz w:val="32"/>
          <w:szCs w:val="32"/>
          <w:lang w:val="en-US" w:eastAsia="zh-CN"/>
        </w:rPr>
        <w:t>以习近平新时代中国特色社会主义思想为指导，全面深入贯彻党的十九大和十九届历次全会精神，</w:t>
      </w:r>
      <w:r>
        <w:rPr>
          <w:rFonts w:hint="eastAsia" w:ascii="仿宋" w:hAnsi="仿宋" w:eastAsia="仿宋"/>
          <w:color w:val="000000"/>
          <w:sz w:val="32"/>
          <w:szCs w:val="32"/>
        </w:rPr>
        <w:t>贯彻落实中央、国务院和省委、省政府对科普工作的总要求，立足新发展阶段，贯彻新发展理念，以促进</w:t>
      </w:r>
      <w:r>
        <w:rPr>
          <w:rFonts w:hint="eastAsia" w:ascii="仿宋" w:hAnsi="仿宋" w:eastAsia="仿宋"/>
          <w:color w:val="000000"/>
          <w:sz w:val="32"/>
          <w:szCs w:val="32"/>
          <w:lang w:eastAsia="zh-CN"/>
        </w:rPr>
        <w:t>我省</w:t>
      </w:r>
      <w:r>
        <w:rPr>
          <w:rFonts w:hint="eastAsia" w:ascii="仿宋" w:hAnsi="仿宋" w:eastAsia="仿宋"/>
          <w:color w:val="000000"/>
          <w:sz w:val="32"/>
          <w:szCs w:val="32"/>
        </w:rPr>
        <w:t>公民科学素质</w:t>
      </w:r>
      <w:r>
        <w:rPr>
          <w:rFonts w:hint="eastAsia" w:ascii="仿宋" w:hAnsi="仿宋" w:eastAsia="仿宋"/>
          <w:color w:val="000000"/>
          <w:sz w:val="32"/>
          <w:szCs w:val="32"/>
          <w:lang w:eastAsia="zh-CN"/>
        </w:rPr>
        <w:t>的</w:t>
      </w:r>
      <w:r>
        <w:rPr>
          <w:rFonts w:hint="eastAsia" w:ascii="仿宋" w:hAnsi="仿宋" w:eastAsia="仿宋"/>
          <w:color w:val="000000"/>
          <w:sz w:val="32"/>
          <w:szCs w:val="32"/>
        </w:rPr>
        <w:t>提高和科普公共服务能力</w:t>
      </w:r>
      <w:r>
        <w:rPr>
          <w:rFonts w:hint="eastAsia" w:ascii="仿宋" w:hAnsi="仿宋" w:eastAsia="仿宋"/>
          <w:color w:val="000000"/>
          <w:sz w:val="32"/>
          <w:szCs w:val="32"/>
          <w:lang w:eastAsia="zh-CN"/>
        </w:rPr>
        <w:t>的提升</w:t>
      </w:r>
      <w:r>
        <w:rPr>
          <w:rFonts w:hint="eastAsia" w:ascii="仿宋" w:hAnsi="仿宋" w:eastAsia="仿宋"/>
          <w:color w:val="000000"/>
          <w:sz w:val="32"/>
          <w:szCs w:val="32"/>
        </w:rPr>
        <w:t>为导向，以提高资金分配的科学性为目标，强化绩效优先和</w:t>
      </w:r>
      <w:r>
        <w:rPr>
          <w:rFonts w:hint="eastAsia" w:ascii="仿宋" w:hAnsi="仿宋" w:eastAsia="仿宋"/>
          <w:color w:val="000000"/>
          <w:sz w:val="32"/>
          <w:szCs w:val="32"/>
          <w:lang w:eastAsia="zh-CN"/>
        </w:rPr>
        <w:t>科普</w:t>
      </w:r>
      <w:r>
        <w:rPr>
          <w:rFonts w:hint="eastAsia" w:ascii="仿宋" w:hAnsi="仿宋" w:eastAsia="仿宋"/>
          <w:color w:val="000000"/>
          <w:sz w:val="32"/>
          <w:szCs w:val="32"/>
        </w:rPr>
        <w:t>公共服务优先的观念，建立健全科学合理、高效公正的</w:t>
      </w:r>
      <w:r>
        <w:rPr>
          <w:rFonts w:hint="eastAsia" w:ascii="仿宋" w:hAnsi="仿宋" w:eastAsia="仿宋"/>
          <w:color w:val="000000"/>
          <w:sz w:val="32"/>
          <w:szCs w:val="32"/>
          <w:lang w:eastAsia="zh-CN"/>
        </w:rPr>
        <w:t>科技馆免费开放资金</w:t>
      </w:r>
      <w:r>
        <w:rPr>
          <w:rFonts w:hint="eastAsia" w:ascii="仿宋" w:hAnsi="仿宋" w:eastAsia="仿宋"/>
          <w:color w:val="000000"/>
          <w:sz w:val="32"/>
          <w:szCs w:val="32"/>
        </w:rPr>
        <w:t>分配机制，切实提高资金管理水平和使用效益。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olor w:val="000000"/>
          <w:sz w:val="32"/>
          <w:szCs w:val="32"/>
          <w:lang w:val="en-US" w:eastAsia="zh-CN"/>
        </w:rPr>
      </w:pPr>
      <w:r>
        <w:rPr>
          <w:rFonts w:hint="eastAsia" w:ascii="黑体" w:hAnsi="黑体" w:eastAsia="黑体" w:cs="黑体"/>
          <w:color w:val="000000"/>
          <w:sz w:val="32"/>
          <w:szCs w:val="32"/>
          <w:lang w:val="en-US" w:eastAsia="zh-CN"/>
        </w:rPr>
        <w:t>二、分配额度、对象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楷体" w:hAnsi="楷体" w:eastAsia="楷体" w:cs="楷体"/>
          <w:color w:val="000000"/>
          <w:sz w:val="32"/>
          <w:szCs w:val="32"/>
          <w:lang w:val="en-US" w:eastAsia="zh-CN"/>
        </w:rPr>
      </w:pPr>
      <w:r>
        <w:rPr>
          <w:rFonts w:hint="eastAsia" w:ascii="楷体" w:hAnsi="楷体" w:eastAsia="楷体" w:cs="楷体"/>
          <w:color w:val="000000"/>
          <w:sz w:val="32"/>
          <w:szCs w:val="32"/>
          <w:lang w:val="en-US" w:eastAsia="zh-CN"/>
        </w:rPr>
        <w:t>（一）分配额度。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仿宋" w:hAnsi="仿宋" w:eastAsia="仿宋"/>
          <w:color w:val="000000"/>
          <w:sz w:val="32"/>
          <w:szCs w:val="32"/>
          <w:lang w:val="en-US" w:eastAsia="zh-CN"/>
        </w:rPr>
      </w:pPr>
      <w:r>
        <w:rPr>
          <w:rFonts w:hint="eastAsia" w:ascii="仿宋" w:hAnsi="仿宋" w:eastAsia="仿宋"/>
          <w:color w:val="000000"/>
          <w:sz w:val="32"/>
          <w:szCs w:val="32"/>
          <w:lang w:val="en-US" w:eastAsia="zh-CN"/>
        </w:rPr>
        <w:t>2023年资金分配额度以财政部实际下达为准，在中央财政资金下达前确定各科技馆分配比例。根据</w:t>
      </w:r>
      <w:r>
        <w:rPr>
          <w:rFonts w:hint="eastAsia" w:ascii="仿宋" w:hAnsi="仿宋" w:eastAsia="仿宋" w:cs="仿宋"/>
          <w:sz w:val="32"/>
          <w:szCs w:val="32"/>
          <w:lang w:val="en-US" w:eastAsia="zh-CN"/>
        </w:rPr>
        <w:t>《广东省中央补助地方科技馆免费开放资金管理实施细则》，科技馆</w:t>
      </w:r>
      <w:r>
        <w:rPr>
          <w:rFonts w:hint="eastAsia" w:ascii="仿宋" w:hAnsi="仿宋" w:eastAsia="仿宋"/>
          <w:color w:val="000000"/>
          <w:sz w:val="32"/>
          <w:szCs w:val="32"/>
          <w:lang w:val="en-US" w:eastAsia="zh-CN"/>
        </w:rPr>
        <w:t>实际分配金额超过250万元部分将重新分配。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楷体" w:hAnsi="楷体" w:eastAsia="楷体" w:cs="楷体"/>
          <w:color w:val="000000"/>
          <w:sz w:val="32"/>
          <w:szCs w:val="32"/>
          <w:lang w:val="en-US" w:eastAsia="zh-CN"/>
        </w:rPr>
      </w:pPr>
      <w:r>
        <w:rPr>
          <w:rFonts w:hint="eastAsia" w:ascii="楷体" w:hAnsi="楷体" w:eastAsia="楷体" w:cs="楷体"/>
          <w:color w:val="000000"/>
          <w:sz w:val="32"/>
          <w:szCs w:val="32"/>
          <w:lang w:val="en-US" w:eastAsia="zh-CN"/>
        </w:rPr>
        <w:t>（二）分配对象。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具备基本常设展览和教育活动条件，配套有专职科普工作人员，具备观众服务功能，能够正常开展科普工作，常设展厅面积1,000平方米以上，符合国家有关规划并由相关部门批准立项的科协系统所属县级（含）以上公益性科技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三、分配方式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参考以往年度科技馆免费开放资金分配方式，结合工作实际，根据全面实施预算绩效管理的要求，2023年资金分配以</w:t>
      </w:r>
      <w:r>
        <w:rPr>
          <w:rFonts w:hint="eastAsia" w:ascii="仿宋" w:hAnsi="仿宋" w:eastAsia="仿宋"/>
          <w:b/>
          <w:bCs/>
          <w:color w:val="000000"/>
          <w:sz w:val="32"/>
          <w:szCs w:val="32"/>
          <w:u w:val="single"/>
          <w:lang w:val="en-US" w:eastAsia="zh-CN"/>
        </w:rPr>
        <w:t>“因素法+专家评价”</w:t>
      </w:r>
      <w:r>
        <w:rPr>
          <w:rFonts w:hint="eastAsia" w:ascii="仿宋" w:hAnsi="仿宋" w:eastAsia="仿宋"/>
          <w:color w:val="000000"/>
          <w:sz w:val="32"/>
          <w:szCs w:val="32"/>
          <w:lang w:val="en-US" w:eastAsia="zh-CN"/>
        </w:rPr>
        <w:t>的方式进行，分配的指标分为“人员数量（在编和聘用人员）”、“常设展厅面积（㎡）”、“常设展厅展品总资产（万元）”、“2021年常设展厅观众量（万人次）”、“2021年中央财政补助资金支出进度”和“专家评价”6项，其中</w:t>
      </w:r>
      <w:r>
        <w:rPr>
          <w:rFonts w:hint="eastAsia" w:ascii="仿宋" w:hAnsi="仿宋" w:eastAsia="仿宋" w:cs="仿宋"/>
          <w:color w:val="000000"/>
          <w:sz w:val="32"/>
          <w:szCs w:val="32"/>
          <w:lang w:val="en-US" w:eastAsia="zh-CN"/>
        </w:rPr>
        <w:t>前5项指标各占14</w:t>
      </w:r>
      <w:r>
        <w:rPr>
          <w:rFonts w:hint="eastAsia" w:ascii="仿宋" w:hAnsi="仿宋" w:eastAsia="仿宋"/>
          <w:color w:val="000000"/>
          <w:sz w:val="32"/>
          <w:szCs w:val="32"/>
          <w:lang w:val="en-US" w:eastAsia="zh-CN"/>
        </w:rPr>
        <w:t>%，</w:t>
      </w:r>
      <w:r>
        <w:rPr>
          <w:rFonts w:hint="eastAsia" w:ascii="仿宋" w:hAnsi="仿宋" w:eastAsia="仿宋" w:cs="仿宋"/>
          <w:color w:val="000000"/>
          <w:sz w:val="32"/>
          <w:szCs w:val="32"/>
          <w:lang w:val="en-US" w:eastAsia="zh-CN"/>
        </w:rPr>
        <w:t>由各科技馆申报，科普部根据有关材料进行核实，</w:t>
      </w:r>
      <w:r>
        <w:rPr>
          <w:rFonts w:hint="eastAsia" w:ascii="仿宋" w:hAnsi="仿宋" w:eastAsia="仿宋"/>
          <w:color w:val="000000"/>
          <w:sz w:val="32"/>
          <w:szCs w:val="32"/>
          <w:lang w:val="en-US" w:eastAsia="zh-CN"/>
        </w:rPr>
        <w:t>而</w:t>
      </w:r>
      <w:r>
        <w:rPr>
          <w:rFonts w:hint="eastAsia" w:ascii="仿宋" w:hAnsi="仿宋" w:eastAsia="仿宋" w:cs="仿宋"/>
          <w:color w:val="000000"/>
          <w:sz w:val="32"/>
          <w:szCs w:val="32"/>
          <w:lang w:val="en-US" w:eastAsia="zh-CN"/>
        </w:rPr>
        <w:t>“专家评价”指标占30</w:t>
      </w:r>
      <w:r>
        <w:rPr>
          <w:rFonts w:hint="eastAsia" w:ascii="仿宋" w:hAnsi="仿宋" w:eastAsia="仿宋"/>
          <w:color w:val="000000"/>
          <w:sz w:val="32"/>
          <w:szCs w:val="32"/>
          <w:lang w:val="en-US" w:eastAsia="zh-CN"/>
        </w:rPr>
        <w:t>%，主要由科普部组织相关的专家成立评价小组，对各申报科技馆2021年免费开放情况、科普活动开展情况以及2022年项目预算编制合理性、绩效目标设定情况等因素进行评价，形成评价结果。对2021年尚未纳入免费开放范围的科技馆，免费开放情况分值平均分配至其他因素。为体现对粤东粤西粤北地区的支持，进一步缓解部分科技馆资金紧张的问题，粤东粤西粤北地区科技馆前四项指标值按照实际值乘以1.2计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olor w:val="000000"/>
          <w:sz w:val="32"/>
          <w:szCs w:val="32"/>
          <w:lang w:val="en-US" w:eastAsia="zh-CN"/>
        </w:rPr>
      </w:pPr>
      <w:r>
        <w:rPr>
          <w:rFonts w:hint="eastAsia" w:ascii="黑体" w:hAnsi="黑体" w:eastAsia="黑体" w:cs="黑体"/>
          <w:color w:val="000000"/>
          <w:sz w:val="32"/>
          <w:szCs w:val="32"/>
          <w:lang w:val="en-US" w:eastAsia="zh-CN"/>
        </w:rPr>
        <w:t>四、实施步骤</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（一）制订工作方案。结合工作实际情况，由省科协科普部制订《2023年中央财政科技馆免费开放补助资金分配实施方案》，并上报省科协领导。2022年7月底完成。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（二）发布公告。正式印发2023年项目申报通知、资金分配实施方案等文件并在省科协网站发布。 2022年8月中旬完成。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（三）绩效自评、项目申报。各科技馆开展2021年绩效自评和2023年项目申报工作，并上报所属的市科协审核后，报省科协科普部。2022年9月中旬完成。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四）专家评审。科普部负责准入条件的审查和相关指标的核实，并组织科技馆管理、绩效管理、财务管理等方面专家对各单位的自评及绩效目标设定等情况进行复核形成评价结果，最终计算出各科技馆最终的分配比例。2022年10月初完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（五）结果公示。科普部将初步分配名单、分配比例等在省科协网站予以公示。2022年10月中旬完成。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（六）提前下达转移支付。经公示后，根据2023年提前下达的金额，计算各科技馆提前下达分配的金额，形成资金分配方案，经省科协党组审议后报送省财政厅，进行提前下达。2022年11月底完成。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七）年中下达转移支付。接省财政厅通知后（约在全国人大后一个月内），根据当年中央下达全年实际金额，计算各科技馆全年实际分配的金额，扣除提前下达分配金额后，形成资金分配方案，经省科协党组审议后报送省财政厅，进行年中下达转移支付，各科技馆根据下达的实际金额调整、完善预算绩效信息。约在2023年6月底前完成。</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4A02CA"/>
    <w:rsid w:val="06A03F23"/>
    <w:rsid w:val="07EE6667"/>
    <w:rsid w:val="0B857A92"/>
    <w:rsid w:val="0BF033CD"/>
    <w:rsid w:val="0F3D061E"/>
    <w:rsid w:val="121F54DE"/>
    <w:rsid w:val="12801AA7"/>
    <w:rsid w:val="14506765"/>
    <w:rsid w:val="15EE0DD7"/>
    <w:rsid w:val="19FF6F5F"/>
    <w:rsid w:val="1B0D0242"/>
    <w:rsid w:val="1CF06F5C"/>
    <w:rsid w:val="1F5DEA17"/>
    <w:rsid w:val="250E7A8D"/>
    <w:rsid w:val="26744F9B"/>
    <w:rsid w:val="28EB0A12"/>
    <w:rsid w:val="2E4A02CA"/>
    <w:rsid w:val="2F1E41DF"/>
    <w:rsid w:val="35D34B91"/>
    <w:rsid w:val="374F0B76"/>
    <w:rsid w:val="38431512"/>
    <w:rsid w:val="425A0305"/>
    <w:rsid w:val="45DBBD18"/>
    <w:rsid w:val="46880AB9"/>
    <w:rsid w:val="4A5D68FD"/>
    <w:rsid w:val="4FF52220"/>
    <w:rsid w:val="5556ECB8"/>
    <w:rsid w:val="57FF7205"/>
    <w:rsid w:val="58C77FB0"/>
    <w:rsid w:val="590E533C"/>
    <w:rsid w:val="5BC41D4B"/>
    <w:rsid w:val="5F627711"/>
    <w:rsid w:val="64404395"/>
    <w:rsid w:val="67597261"/>
    <w:rsid w:val="67BB5E86"/>
    <w:rsid w:val="686564C8"/>
    <w:rsid w:val="6B6FE068"/>
    <w:rsid w:val="6F5F1020"/>
    <w:rsid w:val="7BBFBB42"/>
    <w:rsid w:val="7BEB53D0"/>
    <w:rsid w:val="7D7D4882"/>
    <w:rsid w:val="7FBF4D1C"/>
    <w:rsid w:val="9BFFF82E"/>
    <w:rsid w:val="B712D2D0"/>
    <w:rsid w:val="BDFB484A"/>
    <w:rsid w:val="BFEB466D"/>
    <w:rsid w:val="C4C7AF6A"/>
    <w:rsid w:val="CB6FAF3E"/>
    <w:rsid w:val="DF1BF956"/>
    <w:rsid w:val="DFFE4437"/>
    <w:rsid w:val="E7DF6496"/>
    <w:rsid w:val="F95EECC0"/>
    <w:rsid w:val="FF5F05B0"/>
    <w:rsid w:val="FFDD3BDF"/>
    <w:rsid w:val="FFFFF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省科学技术协会</Company>
  <Pages>1</Pages>
  <Words>0</Words>
  <Characters>0</Characters>
  <Lines>0</Lines>
  <Paragraphs>0</Paragraphs>
  <TotalTime>1</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2021-08-16T02:16:00Z</dcterms:created>
  <dc:creator>苏诗元</dc:creator>
  <cp:lastModifiedBy>ht706</cp:lastModifiedBy>
  <cp:lastPrinted>2021-08-24T00:59:00Z</cp:lastPrinted>
  <dcterms:modified xsi:type="dcterms:W3CDTF">2022-08-18T11:51:47Z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