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Toc33196040"/>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widowControl/>
        <w:shd w:val="clear" w:color="auto" w:fill="FFFFFF"/>
        <w:adjustRightInd w:val="0"/>
        <w:spacing w:line="720" w:lineRule="atLeast"/>
        <w:jc w:val="center"/>
        <w:outlineLvl w:val="0"/>
        <w:rPr>
          <w:rFonts w:ascii="仿宋_GB2312" w:hAnsi="微软雅黑" w:eastAsia="仿宋_GB2312" w:cs="宋体"/>
          <w:b/>
          <w:bCs/>
          <w:color w:val="000000"/>
        </w:rPr>
      </w:pPr>
      <w:bookmarkStart w:id="1" w:name="_Toc25260"/>
      <w:r>
        <w:rPr>
          <w:rFonts w:hint="eastAsia" w:cs="宋体" w:asciiTheme="minorEastAsia" w:hAnsiTheme="minorEastAsia"/>
          <w:b/>
          <w:bCs/>
          <w:color w:val="000000"/>
          <w:kern w:val="36"/>
          <w:sz w:val="44"/>
          <w:szCs w:val="44"/>
        </w:rPr>
        <w:t>深圳市宝安区</w:t>
      </w:r>
      <w:r>
        <w:rPr>
          <w:rFonts w:hint="eastAsia" w:cs="宋体" w:asciiTheme="minorEastAsia" w:hAnsiTheme="minorEastAsia"/>
          <w:b/>
          <w:bCs/>
          <w:kern w:val="36"/>
          <w:sz w:val="44"/>
          <w:szCs w:val="44"/>
        </w:rPr>
        <w:t>人力资源</w:t>
      </w:r>
      <w:r>
        <w:rPr>
          <w:rFonts w:hint="eastAsia" w:cs="宋体" w:asciiTheme="minorEastAsia" w:hAnsiTheme="minorEastAsia"/>
          <w:b/>
          <w:bCs/>
          <w:color w:val="000000"/>
          <w:kern w:val="36"/>
          <w:sz w:val="44"/>
          <w:szCs w:val="44"/>
        </w:rPr>
        <w:t>服务业资金扶持措施操作规程</w:t>
      </w:r>
      <w:bookmarkEnd w:id="0"/>
      <w:bookmarkEnd w:id="1"/>
      <w:r>
        <w:rPr>
          <w:rFonts w:hint="eastAsia" w:ascii="仿宋_GB2312" w:hAnsi="微软雅黑" w:eastAsia="仿宋_GB2312" w:cs="宋体"/>
          <w:b/>
          <w:bCs/>
          <w:color w:val="000000"/>
        </w:rPr>
        <w:t>　</w:t>
      </w:r>
    </w:p>
    <w:p>
      <w:pPr>
        <w:jc w:val="center"/>
        <w:rPr>
          <w:rFonts w:ascii="仿宋" w:hAnsi="仿宋" w:eastAsia="仿宋" w:cs="仿宋"/>
          <w:sz w:val="28"/>
          <w:szCs w:val="40"/>
        </w:rPr>
      </w:pPr>
      <w:r>
        <w:rPr>
          <w:rFonts w:hint="eastAsia" w:ascii="仿宋" w:hAnsi="仿宋" w:eastAsia="仿宋" w:cs="仿宋"/>
          <w:sz w:val="28"/>
          <w:szCs w:val="40"/>
        </w:rPr>
        <w:t>目录</w:t>
      </w:r>
    </w:p>
    <w:p>
      <w:pPr>
        <w:pStyle w:val="11"/>
        <w:tabs>
          <w:tab w:val="right" w:leader="dot" w:pos="9070"/>
          <w:tab w:val="clear" w:pos="1050"/>
          <w:tab w:val="clear" w:pos="8948"/>
        </w:tabs>
      </w:pPr>
      <w:r>
        <w:fldChar w:fldCharType="begin"/>
      </w:r>
      <w:r>
        <w:instrText xml:space="preserve"> TOC \o "1-3" \h \z \u </w:instrText>
      </w:r>
      <w:r>
        <w:fldChar w:fldCharType="separate"/>
      </w:r>
      <w:r>
        <w:fldChar w:fldCharType="begin"/>
      </w:r>
      <w:r>
        <w:instrText xml:space="preserve"> HYPERLINK \l "_Toc25260" </w:instrText>
      </w:r>
      <w:r>
        <w:fldChar w:fldCharType="separate"/>
      </w:r>
      <w:r>
        <w:rPr>
          <w:rFonts w:hint="eastAsia" w:cs="宋体" w:asciiTheme="minorEastAsia" w:hAnsiTheme="minorEastAsia"/>
          <w:kern w:val="36"/>
          <w:szCs w:val="44"/>
        </w:rPr>
        <w:t>深圳市宝安区人力资源服务业资金扶持措施操作规程</w:t>
      </w:r>
      <w:r>
        <w:tab/>
      </w:r>
      <w:r>
        <w:fldChar w:fldCharType="begin"/>
      </w:r>
      <w:r>
        <w:instrText xml:space="preserve"> PAGEREF _Toc25260 \h </w:instrText>
      </w:r>
      <w:r>
        <w:fldChar w:fldCharType="separate"/>
      </w:r>
      <w:r>
        <w:t>1</w:t>
      </w:r>
      <w:r>
        <w:fldChar w:fldCharType="end"/>
      </w:r>
      <w:r>
        <w:fldChar w:fldCharType="end"/>
      </w:r>
    </w:p>
    <w:p>
      <w:pPr>
        <w:pStyle w:val="11"/>
        <w:tabs>
          <w:tab w:val="right" w:leader="dot" w:pos="9070"/>
          <w:tab w:val="clear" w:pos="1050"/>
          <w:tab w:val="clear" w:pos="8948"/>
        </w:tabs>
      </w:pPr>
      <w:r>
        <w:fldChar w:fldCharType="begin"/>
      </w:r>
      <w:r>
        <w:instrText xml:space="preserve"> HYPERLINK \l "_Toc30589" </w:instrText>
      </w:r>
      <w:r>
        <w:fldChar w:fldCharType="separate"/>
      </w:r>
      <w:r>
        <w:rPr>
          <w:rFonts w:hint="eastAsia" w:cs="仿宋_GB2312" w:asciiTheme="minorEastAsia" w:hAnsiTheme="minorEastAsia" w:eastAsiaTheme="minorEastAsia"/>
          <w:szCs w:val="36"/>
        </w:rPr>
        <w:t>第一章 总则</w:t>
      </w:r>
      <w:r>
        <w:tab/>
      </w:r>
      <w:r>
        <w:fldChar w:fldCharType="begin"/>
      </w:r>
      <w:r>
        <w:instrText xml:space="preserve"> PAGEREF _Toc30589 \h </w:instrText>
      </w:r>
      <w:r>
        <w:fldChar w:fldCharType="separate"/>
      </w:r>
      <w:r>
        <w:t>3</w:t>
      </w:r>
      <w:r>
        <w:fldChar w:fldCharType="end"/>
      </w:r>
      <w:r>
        <w:fldChar w:fldCharType="end"/>
      </w:r>
    </w:p>
    <w:p>
      <w:pPr>
        <w:pStyle w:val="11"/>
        <w:tabs>
          <w:tab w:val="right" w:leader="dot" w:pos="9070"/>
          <w:tab w:val="clear" w:pos="1050"/>
          <w:tab w:val="clear" w:pos="8948"/>
        </w:tabs>
      </w:pPr>
      <w:r>
        <w:fldChar w:fldCharType="begin"/>
      </w:r>
      <w:r>
        <w:instrText xml:space="preserve"> HYPERLINK \l "_Toc1594" </w:instrText>
      </w:r>
      <w:r>
        <w:fldChar w:fldCharType="separate"/>
      </w:r>
      <w:r>
        <w:rPr>
          <w:rFonts w:hint="eastAsia" w:cs="仿宋_GB2312" w:asciiTheme="minorEastAsia" w:hAnsiTheme="minorEastAsia" w:eastAsiaTheme="minorEastAsia"/>
          <w:szCs w:val="36"/>
        </w:rPr>
        <w:t>第二章 一般申报要求和审批流程</w:t>
      </w:r>
      <w:r>
        <w:tab/>
      </w:r>
      <w:r>
        <w:fldChar w:fldCharType="begin"/>
      </w:r>
      <w:r>
        <w:instrText xml:space="preserve"> PAGEREF _Toc1594 \h </w:instrText>
      </w:r>
      <w:r>
        <w:fldChar w:fldCharType="separate"/>
      </w:r>
      <w:r>
        <w:t>4</w:t>
      </w:r>
      <w:r>
        <w:fldChar w:fldCharType="end"/>
      </w:r>
      <w:r>
        <w:fldChar w:fldCharType="end"/>
      </w:r>
    </w:p>
    <w:p>
      <w:pPr>
        <w:pStyle w:val="11"/>
        <w:tabs>
          <w:tab w:val="right" w:leader="dot" w:pos="9070"/>
          <w:tab w:val="clear" w:pos="1050"/>
          <w:tab w:val="clear" w:pos="8948"/>
        </w:tabs>
      </w:pPr>
      <w:r>
        <w:fldChar w:fldCharType="begin"/>
      </w:r>
      <w:r>
        <w:instrText xml:space="preserve"> HYPERLINK \l "_Toc27621" </w:instrText>
      </w:r>
      <w:r>
        <w:fldChar w:fldCharType="separate"/>
      </w:r>
      <w:r>
        <w:rPr>
          <w:rFonts w:hint="eastAsia" w:cs="仿宋_GB2312" w:asciiTheme="minorEastAsia" w:hAnsiTheme="minorEastAsia" w:eastAsiaTheme="minorEastAsia"/>
          <w:szCs w:val="36"/>
        </w:rPr>
        <w:t>第三章 具体资助措施和标准</w:t>
      </w:r>
      <w:r>
        <w:tab/>
      </w:r>
      <w:r>
        <w:fldChar w:fldCharType="begin"/>
      </w:r>
      <w:r>
        <w:instrText xml:space="preserve"> PAGEREF _Toc27621 \h </w:instrText>
      </w:r>
      <w:r>
        <w:fldChar w:fldCharType="separate"/>
      </w:r>
      <w:r>
        <w:t>8</w:t>
      </w:r>
      <w:r>
        <w:fldChar w:fldCharType="end"/>
      </w:r>
      <w:r>
        <w:fldChar w:fldCharType="end"/>
      </w:r>
    </w:p>
    <w:p>
      <w:pPr>
        <w:pStyle w:val="12"/>
        <w:tabs>
          <w:tab w:val="right" w:leader="dot" w:pos="9070"/>
        </w:tabs>
      </w:pPr>
      <w:r>
        <w:fldChar w:fldCharType="begin"/>
      </w:r>
      <w:r>
        <w:instrText xml:space="preserve"> HYPERLINK \l "_Toc22769" </w:instrText>
      </w:r>
      <w:r>
        <w:fldChar w:fldCharType="separate"/>
      </w:r>
      <w:r>
        <w:rPr>
          <w:rFonts w:hint="eastAsia" w:hAnsi="黑体" w:cs="仿宋_GB2312"/>
        </w:rPr>
        <w:t>一、优质企业奖励操作规程</w:t>
      </w:r>
      <w:r>
        <w:tab/>
      </w:r>
      <w:r>
        <w:fldChar w:fldCharType="begin"/>
      </w:r>
      <w:r>
        <w:instrText xml:space="preserve"> PAGEREF _Toc22769 \h </w:instrText>
      </w:r>
      <w:r>
        <w:fldChar w:fldCharType="separate"/>
      </w:r>
      <w:r>
        <w:t>8</w:t>
      </w:r>
      <w:r>
        <w:fldChar w:fldCharType="end"/>
      </w:r>
      <w:r>
        <w:fldChar w:fldCharType="end"/>
      </w:r>
    </w:p>
    <w:p>
      <w:pPr>
        <w:pStyle w:val="12"/>
        <w:tabs>
          <w:tab w:val="right" w:leader="dot" w:pos="9070"/>
        </w:tabs>
      </w:pPr>
      <w:r>
        <w:fldChar w:fldCharType="begin"/>
      </w:r>
      <w:r>
        <w:instrText xml:space="preserve"> HYPERLINK \l "_Toc31895" </w:instrText>
      </w:r>
      <w:r>
        <w:fldChar w:fldCharType="separate"/>
      </w:r>
      <w:r>
        <w:rPr>
          <w:rFonts w:hint="eastAsia" w:hAnsi="黑体" w:cs="仿宋_GB2312"/>
        </w:rPr>
        <w:t>二、经营发展奖励操作规程</w:t>
      </w:r>
      <w:r>
        <w:tab/>
      </w:r>
      <w:r>
        <w:fldChar w:fldCharType="begin"/>
      </w:r>
      <w:r>
        <w:instrText xml:space="preserve"> PAGEREF _Toc31895 \h </w:instrText>
      </w:r>
      <w:r>
        <w:fldChar w:fldCharType="separate"/>
      </w:r>
      <w:r>
        <w:t>9</w:t>
      </w:r>
      <w:r>
        <w:fldChar w:fldCharType="end"/>
      </w:r>
      <w:r>
        <w:fldChar w:fldCharType="end"/>
      </w:r>
    </w:p>
    <w:p>
      <w:pPr>
        <w:pStyle w:val="12"/>
        <w:tabs>
          <w:tab w:val="right" w:leader="dot" w:pos="9070"/>
        </w:tabs>
      </w:pPr>
      <w:r>
        <w:fldChar w:fldCharType="begin"/>
      </w:r>
      <w:r>
        <w:instrText xml:space="preserve"> HYPERLINK \l "_Toc17014" </w:instrText>
      </w:r>
      <w:r>
        <w:fldChar w:fldCharType="separate"/>
      </w:r>
      <w:r>
        <w:rPr>
          <w:rFonts w:hint="eastAsia" w:hAnsi="黑体" w:cs="仿宋_GB2312"/>
        </w:rPr>
        <w:t>三、专业活动奖励操作规程</w:t>
      </w:r>
      <w:r>
        <w:tab/>
      </w:r>
      <w:r>
        <w:fldChar w:fldCharType="begin"/>
      </w:r>
      <w:r>
        <w:instrText xml:space="preserve"> PAGEREF _Toc17014 \h </w:instrText>
      </w:r>
      <w:r>
        <w:fldChar w:fldCharType="separate"/>
      </w:r>
      <w:r>
        <w:t>11</w:t>
      </w:r>
      <w:r>
        <w:fldChar w:fldCharType="end"/>
      </w:r>
      <w:r>
        <w:fldChar w:fldCharType="end"/>
      </w:r>
    </w:p>
    <w:p>
      <w:pPr>
        <w:pStyle w:val="12"/>
        <w:tabs>
          <w:tab w:val="right" w:leader="dot" w:pos="9070"/>
        </w:tabs>
      </w:pPr>
      <w:r>
        <w:fldChar w:fldCharType="begin"/>
      </w:r>
      <w:r>
        <w:instrText xml:space="preserve"> HYPERLINK \l "_Toc19160" </w:instrText>
      </w:r>
      <w:r>
        <w:fldChar w:fldCharType="separate"/>
      </w:r>
      <w:r>
        <w:rPr>
          <w:rFonts w:hint="eastAsia" w:hAnsi="黑体" w:cs="仿宋_GB2312"/>
        </w:rPr>
        <w:t>四、办公用房租金补贴操作规程</w:t>
      </w:r>
      <w:r>
        <w:tab/>
      </w:r>
      <w:r>
        <w:fldChar w:fldCharType="begin"/>
      </w:r>
      <w:r>
        <w:instrText xml:space="preserve"> PAGEREF _Toc19160 \h </w:instrText>
      </w:r>
      <w:r>
        <w:fldChar w:fldCharType="separate"/>
      </w:r>
      <w:r>
        <w:t>12</w:t>
      </w:r>
      <w:r>
        <w:fldChar w:fldCharType="end"/>
      </w:r>
      <w:r>
        <w:fldChar w:fldCharType="end"/>
      </w:r>
    </w:p>
    <w:p>
      <w:pPr>
        <w:pStyle w:val="12"/>
        <w:tabs>
          <w:tab w:val="right" w:leader="dot" w:pos="9070"/>
        </w:tabs>
      </w:pPr>
      <w:r>
        <w:fldChar w:fldCharType="begin"/>
      </w:r>
      <w:r>
        <w:instrText xml:space="preserve"> HYPERLINK \l "_Toc7779" </w:instrText>
      </w:r>
      <w:r>
        <w:fldChar w:fldCharType="separate"/>
      </w:r>
      <w:r>
        <w:rPr>
          <w:rFonts w:hint="eastAsia" w:hAnsi="黑体" w:cs="仿宋_GB2312"/>
        </w:rPr>
        <w:t>五、办公用房购置补贴操作规程</w:t>
      </w:r>
      <w:r>
        <w:tab/>
      </w:r>
      <w:r>
        <w:fldChar w:fldCharType="begin"/>
      </w:r>
      <w:r>
        <w:instrText xml:space="preserve"> PAGEREF _Toc7779 \h </w:instrText>
      </w:r>
      <w:r>
        <w:fldChar w:fldCharType="separate"/>
      </w:r>
      <w:r>
        <w:t>14</w:t>
      </w:r>
      <w:r>
        <w:fldChar w:fldCharType="end"/>
      </w:r>
      <w:r>
        <w:fldChar w:fldCharType="end"/>
      </w:r>
    </w:p>
    <w:p>
      <w:pPr>
        <w:pStyle w:val="11"/>
        <w:tabs>
          <w:tab w:val="right" w:leader="dot" w:pos="9070"/>
          <w:tab w:val="clear" w:pos="1050"/>
          <w:tab w:val="clear" w:pos="8948"/>
        </w:tabs>
      </w:pPr>
      <w:r>
        <w:fldChar w:fldCharType="begin"/>
      </w:r>
      <w:r>
        <w:instrText xml:space="preserve"> HYPERLINK \l "_Toc11673" </w:instrText>
      </w:r>
      <w:r>
        <w:fldChar w:fldCharType="separate"/>
      </w:r>
      <w:r>
        <w:rPr>
          <w:rFonts w:hint="eastAsia" w:cs="仿宋_GB2312" w:asciiTheme="minorEastAsia" w:hAnsiTheme="minorEastAsia" w:eastAsiaTheme="minorEastAsia"/>
          <w:szCs w:val="36"/>
        </w:rPr>
        <w:t>第四章 附则</w:t>
      </w:r>
      <w:r>
        <w:tab/>
      </w:r>
      <w:r>
        <w:fldChar w:fldCharType="begin"/>
      </w:r>
      <w:r>
        <w:instrText xml:space="preserve"> PAGEREF _Toc11673 \h </w:instrText>
      </w:r>
      <w:r>
        <w:fldChar w:fldCharType="separate"/>
      </w:r>
      <w:r>
        <w:t>17</w:t>
      </w:r>
      <w:r>
        <w:fldChar w:fldCharType="end"/>
      </w:r>
      <w:r>
        <w:fldChar w:fldCharType="end"/>
      </w:r>
    </w:p>
    <w:p>
      <w:pPr>
        <w:pStyle w:val="11"/>
        <w:tabs>
          <w:tab w:val="right" w:leader="dot" w:pos="9070"/>
          <w:tab w:val="clear" w:pos="1050"/>
          <w:tab w:val="clear" w:pos="8948"/>
        </w:tabs>
      </w:pPr>
      <w:r>
        <w:fldChar w:fldCharType="begin"/>
      </w:r>
      <w:r>
        <w:instrText xml:space="preserve"> HYPERLINK \l "_Toc12966" </w:instrText>
      </w:r>
      <w:r>
        <w:fldChar w:fldCharType="separate"/>
      </w:r>
      <w:r>
        <w:rPr>
          <w:rFonts w:hint="eastAsia"/>
        </w:rPr>
        <w:t>第五章 申请表格</w:t>
      </w:r>
      <w:r>
        <w:tab/>
      </w:r>
      <w:r>
        <w:fldChar w:fldCharType="begin"/>
      </w:r>
      <w:r>
        <w:instrText xml:space="preserve"> PAGEREF _Toc12966 \h </w:instrText>
      </w:r>
      <w:r>
        <w:fldChar w:fldCharType="separate"/>
      </w:r>
      <w:r>
        <w:t>18</w:t>
      </w:r>
      <w:r>
        <w:fldChar w:fldCharType="end"/>
      </w:r>
      <w:r>
        <w:fldChar w:fldCharType="end"/>
      </w:r>
    </w:p>
    <w:p>
      <w:pPr>
        <w:pStyle w:val="11"/>
        <w:tabs>
          <w:tab w:val="right" w:leader="dot" w:pos="9070"/>
          <w:tab w:val="clear" w:pos="1050"/>
          <w:tab w:val="clear" w:pos="8948"/>
        </w:tabs>
      </w:pPr>
      <w:r>
        <w:fldChar w:fldCharType="begin"/>
      </w:r>
      <w:r>
        <w:instrText xml:space="preserve"> HYPERLINK \l "_Toc23270" </w:instrText>
      </w:r>
      <w:r>
        <w:fldChar w:fldCharType="separate"/>
      </w:r>
      <w:r>
        <w:rPr>
          <w:rFonts w:hint="eastAsia" w:cs="仿宋_GB2312" w:asciiTheme="minorEastAsia" w:hAnsiTheme="minorEastAsia" w:eastAsiaTheme="minorEastAsia"/>
          <w:szCs w:val="36"/>
        </w:rPr>
        <w:t>宝安区人力资源服务业资金</w:t>
      </w:r>
      <w:r>
        <w:rPr>
          <w:rFonts w:cs="仿宋_GB2312" w:asciiTheme="minorEastAsia" w:hAnsiTheme="minorEastAsia" w:eastAsiaTheme="minorEastAsia"/>
          <w:szCs w:val="36"/>
        </w:rPr>
        <w:t>扶持</w:t>
      </w:r>
      <w:r>
        <w:rPr>
          <w:rFonts w:hint="eastAsia" w:cs="仿宋_GB2312" w:asciiTheme="minorEastAsia" w:hAnsiTheme="minorEastAsia" w:eastAsiaTheme="minorEastAsia"/>
          <w:szCs w:val="36"/>
        </w:rPr>
        <w:t>项目申请表</w:t>
      </w:r>
      <w:r>
        <w:tab/>
      </w:r>
      <w:r>
        <w:fldChar w:fldCharType="begin"/>
      </w:r>
      <w:r>
        <w:instrText xml:space="preserve"> PAGEREF _Toc23270 \h </w:instrText>
      </w:r>
      <w:r>
        <w:fldChar w:fldCharType="separate"/>
      </w:r>
      <w:r>
        <w:t>18</w:t>
      </w:r>
      <w:r>
        <w:fldChar w:fldCharType="end"/>
      </w:r>
      <w:r>
        <w:fldChar w:fldCharType="end"/>
      </w:r>
    </w:p>
    <w:p>
      <w:pPr>
        <w:pStyle w:val="11"/>
        <w:tabs>
          <w:tab w:val="right" w:leader="dot" w:pos="9070"/>
          <w:tab w:val="clear" w:pos="1050"/>
          <w:tab w:val="clear" w:pos="8948"/>
        </w:tabs>
      </w:pPr>
      <w:r>
        <w:fldChar w:fldCharType="begin"/>
      </w:r>
      <w:r>
        <w:instrText xml:space="preserve"> HYPERLINK \l "_Toc3484" </w:instrText>
      </w:r>
      <w:r>
        <w:fldChar w:fldCharType="separate"/>
      </w:r>
      <w:r>
        <w:rPr>
          <w:rFonts w:hint="eastAsia" w:cs="仿宋_GB2312" w:asciiTheme="minorEastAsia" w:hAnsiTheme="minorEastAsia" w:eastAsiaTheme="minorEastAsia"/>
          <w:szCs w:val="36"/>
        </w:rPr>
        <w:t>租赁办公用房信息明细表</w:t>
      </w:r>
      <w:r>
        <w:tab/>
      </w:r>
      <w:r>
        <w:fldChar w:fldCharType="begin"/>
      </w:r>
      <w:r>
        <w:instrText xml:space="preserve"> PAGEREF _Toc3484 \h </w:instrText>
      </w:r>
      <w:r>
        <w:fldChar w:fldCharType="separate"/>
      </w:r>
      <w:r>
        <w:t>19</w:t>
      </w:r>
      <w:r>
        <w:fldChar w:fldCharType="end"/>
      </w:r>
      <w:r>
        <w:fldChar w:fldCharType="end"/>
      </w:r>
    </w:p>
    <w:p>
      <w:pPr>
        <w:pStyle w:val="11"/>
        <w:tabs>
          <w:tab w:val="right" w:leader="dot" w:pos="9070"/>
          <w:tab w:val="clear" w:pos="1050"/>
          <w:tab w:val="clear" w:pos="8948"/>
        </w:tabs>
      </w:pPr>
      <w:r>
        <w:fldChar w:fldCharType="begin"/>
      </w:r>
      <w:r>
        <w:instrText xml:space="preserve"> HYPERLINK \l "_Toc15881" </w:instrText>
      </w:r>
      <w:r>
        <w:fldChar w:fldCharType="separate"/>
      </w:r>
      <w:r>
        <w:rPr>
          <w:rFonts w:hint="eastAsia" w:cs="仿宋_GB2312" w:asciiTheme="minorEastAsia" w:hAnsiTheme="minorEastAsia" w:eastAsiaTheme="minorEastAsia"/>
          <w:szCs w:val="52"/>
        </w:rPr>
        <w:t>法 人 授 权 委 托 书</w:t>
      </w:r>
      <w:r>
        <w:tab/>
      </w:r>
      <w:r>
        <w:fldChar w:fldCharType="begin"/>
      </w:r>
      <w:r>
        <w:instrText xml:space="preserve"> PAGEREF _Toc15881 \h </w:instrText>
      </w:r>
      <w:r>
        <w:fldChar w:fldCharType="separate"/>
      </w:r>
      <w:r>
        <w:t>20</w:t>
      </w:r>
      <w:r>
        <w:fldChar w:fldCharType="end"/>
      </w:r>
      <w:r>
        <w:fldChar w:fldCharType="end"/>
      </w:r>
    </w:p>
    <w:p>
      <w:pPr>
        <w:pStyle w:val="11"/>
        <w:tabs>
          <w:tab w:val="right" w:leader="dot" w:pos="9070"/>
          <w:tab w:val="clear" w:pos="1050"/>
          <w:tab w:val="clear" w:pos="8948"/>
        </w:tabs>
      </w:pPr>
      <w:r>
        <w:fldChar w:fldCharType="begin"/>
      </w:r>
      <w:r>
        <w:instrText xml:space="preserve"> HYPERLINK \l "_Toc12873" </w:instrText>
      </w:r>
      <w:r>
        <w:fldChar w:fldCharType="separate"/>
      </w:r>
      <w:r>
        <w:rPr>
          <w:rFonts w:hint="eastAsia" w:cs="仿宋_GB2312" w:asciiTheme="minorEastAsia" w:hAnsiTheme="minorEastAsia" w:eastAsiaTheme="minorEastAsia"/>
          <w:szCs w:val="36"/>
        </w:rPr>
        <w:t>法定代表人身份证明书</w:t>
      </w:r>
      <w:r>
        <w:tab/>
      </w:r>
      <w:r>
        <w:fldChar w:fldCharType="begin"/>
      </w:r>
      <w:r>
        <w:instrText xml:space="preserve"> PAGEREF _Toc12873 \h </w:instrText>
      </w:r>
      <w:r>
        <w:fldChar w:fldCharType="separate"/>
      </w:r>
      <w:r>
        <w:t>21</w:t>
      </w:r>
      <w:r>
        <w:fldChar w:fldCharType="end"/>
      </w:r>
      <w:r>
        <w:fldChar w:fldCharType="end"/>
      </w:r>
    </w:p>
    <w:p>
      <w:pPr>
        <w:pStyle w:val="11"/>
        <w:tabs>
          <w:tab w:val="right" w:leader="dot" w:pos="9070"/>
          <w:tab w:val="clear" w:pos="1050"/>
          <w:tab w:val="clear" w:pos="8948"/>
        </w:tabs>
      </w:pPr>
      <w:r>
        <w:fldChar w:fldCharType="begin"/>
      </w:r>
      <w:r>
        <w:instrText xml:space="preserve"> HYPERLINK \l "_Toc26471" </w:instrText>
      </w:r>
      <w:r>
        <w:fldChar w:fldCharType="separate"/>
      </w:r>
      <w:r>
        <w:rPr>
          <w:rFonts w:hint="eastAsia" w:cs="仿宋_GB2312" w:asciiTheme="minorEastAsia" w:hAnsiTheme="minorEastAsia" w:eastAsiaTheme="minorEastAsia"/>
          <w:szCs w:val="44"/>
        </w:rPr>
        <w:t xml:space="preserve">宝安区 </w:t>
      </w:r>
      <w:r>
        <w:rPr>
          <w:rFonts w:cs="仿宋_GB2312" w:asciiTheme="minorEastAsia" w:hAnsiTheme="minorEastAsia" w:eastAsiaTheme="minorEastAsia"/>
          <w:szCs w:val="44"/>
        </w:rPr>
        <w:t xml:space="preserve">   </w:t>
      </w:r>
      <w:bookmarkStart w:id="28" w:name="_GoBack"/>
      <w:bookmarkEnd w:id="28"/>
      <w:r>
        <w:rPr>
          <w:rFonts w:hint="eastAsia" w:cs="仿宋_GB2312" w:asciiTheme="minorEastAsia" w:hAnsiTheme="minorEastAsia" w:eastAsiaTheme="minorEastAsia"/>
          <w:szCs w:val="44"/>
        </w:rPr>
        <w:t>（项目</w:t>
      </w:r>
      <w:r>
        <w:rPr>
          <w:rFonts w:cs="仿宋_GB2312" w:asciiTheme="minorEastAsia" w:hAnsiTheme="minorEastAsia" w:eastAsiaTheme="minorEastAsia"/>
          <w:szCs w:val="44"/>
        </w:rPr>
        <w:t>类别</w:t>
      </w:r>
      <w:r>
        <w:rPr>
          <w:rFonts w:hint="eastAsia" w:cs="仿宋_GB2312" w:asciiTheme="minorEastAsia" w:hAnsiTheme="minorEastAsia" w:eastAsiaTheme="minorEastAsia"/>
          <w:szCs w:val="44"/>
        </w:rPr>
        <w:t>）受资助承诺书</w:t>
      </w:r>
      <w:r>
        <w:tab/>
      </w:r>
      <w:r>
        <w:fldChar w:fldCharType="begin"/>
      </w:r>
      <w:r>
        <w:instrText xml:space="preserve"> PAGEREF _Toc26471 \h </w:instrText>
      </w:r>
      <w:r>
        <w:fldChar w:fldCharType="separate"/>
      </w:r>
      <w:r>
        <w:t>22</w:t>
      </w:r>
      <w:r>
        <w:fldChar w:fldCharType="end"/>
      </w:r>
      <w:r>
        <w:fldChar w:fldCharType="end"/>
      </w:r>
    </w:p>
    <w:p>
      <w:pPr>
        <w:pStyle w:val="11"/>
        <w:tabs>
          <w:tab w:val="right" w:leader="dot" w:pos="9070"/>
          <w:tab w:val="clear" w:pos="1050"/>
          <w:tab w:val="clear" w:pos="8948"/>
        </w:tabs>
      </w:pPr>
      <w:r>
        <w:fldChar w:fldCharType="begin"/>
      </w:r>
      <w:r>
        <w:instrText xml:space="preserve"> HYPERLINK \l "_Toc11426" </w:instrText>
      </w:r>
      <w:r>
        <w:fldChar w:fldCharType="separate"/>
      </w:r>
      <w:r>
        <w:rPr>
          <w:rFonts w:hint="eastAsia" w:cs="仿宋_GB2312" w:asciiTheme="minorEastAsia" w:hAnsiTheme="minorEastAsia" w:eastAsiaTheme="minorEastAsia"/>
          <w:szCs w:val="36"/>
        </w:rPr>
        <w:t>宝安区</w:t>
      </w:r>
      <w:r>
        <w:rPr>
          <w:rFonts w:cs="仿宋_GB2312" w:asciiTheme="minorEastAsia" w:hAnsiTheme="minorEastAsia" w:eastAsiaTheme="minorEastAsia"/>
          <w:szCs w:val="36"/>
        </w:rPr>
        <w:t>专业服务业企业购置办公用房补贴</w:t>
      </w:r>
      <w:r>
        <w:rPr>
          <w:rFonts w:hint="eastAsia" w:cs="仿宋_GB2312" w:asciiTheme="minorEastAsia" w:hAnsiTheme="minorEastAsia" w:eastAsiaTheme="minorEastAsia"/>
          <w:szCs w:val="36"/>
        </w:rPr>
        <w:t>产业</w:t>
      </w:r>
      <w:r>
        <w:rPr>
          <w:rFonts w:cs="仿宋_GB2312" w:asciiTheme="minorEastAsia" w:hAnsiTheme="minorEastAsia" w:eastAsiaTheme="minorEastAsia"/>
          <w:szCs w:val="36"/>
        </w:rPr>
        <w:t>发展监管协议</w:t>
      </w:r>
      <w:r>
        <w:rPr>
          <w:rFonts w:hint="eastAsia" w:cs="仿宋_GB2312" w:asciiTheme="minorEastAsia" w:hAnsiTheme="minorEastAsia" w:eastAsiaTheme="minorEastAsia"/>
          <w:szCs w:val="36"/>
        </w:rPr>
        <w:t>（模板）</w:t>
      </w:r>
      <w:r>
        <w:tab/>
      </w:r>
      <w:r>
        <w:fldChar w:fldCharType="begin"/>
      </w:r>
      <w:r>
        <w:instrText xml:space="preserve"> PAGEREF _Toc11426 \h </w:instrText>
      </w:r>
      <w:r>
        <w:fldChar w:fldCharType="separate"/>
      </w:r>
      <w:r>
        <w:t>23</w:t>
      </w:r>
      <w:r>
        <w:fldChar w:fldCharType="end"/>
      </w:r>
      <w:r>
        <w:fldChar w:fldCharType="end"/>
      </w:r>
    </w:p>
    <w:p>
      <w:pPr>
        <w:pStyle w:val="2"/>
        <w:adjustRightInd w:val="0"/>
        <w:spacing w:before="0" w:beforeAutospacing="0" w:after="0" w:afterAutospacing="0" w:line="540" w:lineRule="exact"/>
        <w:jc w:val="center"/>
        <w:rPr>
          <w:rFonts w:cs="仿宋_GB2312" w:asciiTheme="minorEastAsia" w:hAnsiTheme="minorEastAsia" w:eastAsiaTheme="minorEastAsia"/>
          <w:color w:val="000000" w:themeColor="text1"/>
          <w:sz w:val="36"/>
          <w:szCs w:val="36"/>
        </w:rPr>
      </w:pPr>
      <w:r>
        <w:rPr>
          <w:bCs/>
          <w:lang w:val="zh-CN"/>
        </w:rPr>
        <w:fldChar w:fldCharType="end"/>
      </w:r>
      <w:bookmarkStart w:id="2" w:name="_Toc30589"/>
      <w:r>
        <w:rPr>
          <w:rFonts w:hint="eastAsia" w:cs="仿宋_GB2312" w:asciiTheme="minorEastAsia" w:hAnsiTheme="minorEastAsia" w:eastAsiaTheme="minorEastAsia"/>
          <w:color w:val="000000" w:themeColor="text1"/>
          <w:sz w:val="36"/>
          <w:szCs w:val="36"/>
        </w:rPr>
        <w:t>第一章 总则</w:t>
      </w:r>
      <w:bookmarkEnd w:id="2"/>
    </w:p>
    <w:p>
      <w:pPr>
        <w:widowControl/>
        <w:shd w:val="clear" w:color="auto" w:fill="FFFFFF"/>
        <w:adjustRightInd w:val="0"/>
        <w:spacing w:line="450" w:lineRule="atLeast"/>
        <w:jc w:val="center"/>
        <w:rPr>
          <w:rFonts w:cs="宋体" w:asciiTheme="minorEastAsia" w:hAnsiTheme="minorEastAsia"/>
          <w:color w:val="000000"/>
          <w:kern w:val="0"/>
          <w:sz w:val="32"/>
          <w:szCs w:val="32"/>
        </w:rPr>
      </w:pP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 为贯彻落实《宝安区关于促进专业服务业发展的若干措施》（深宝规〔2020〕4号），规范深圳市宝安区</w:t>
      </w:r>
      <w:r>
        <w:rPr>
          <w:rFonts w:hint="eastAsia" w:ascii="仿宋_GB2312" w:hAnsi="微软雅黑" w:eastAsia="仿宋_GB2312" w:cs="宋体"/>
          <w:kern w:val="0"/>
          <w:sz w:val="32"/>
          <w:szCs w:val="32"/>
        </w:rPr>
        <w:t>人力资源</w:t>
      </w:r>
      <w:r>
        <w:rPr>
          <w:rFonts w:hint="eastAsia" w:ascii="仿宋_GB2312" w:hAnsi="微软雅黑" w:eastAsia="仿宋_GB2312" w:cs="宋体"/>
          <w:color w:val="000000"/>
          <w:kern w:val="0"/>
          <w:sz w:val="32"/>
          <w:szCs w:val="32"/>
        </w:rPr>
        <w:t>服务业扶持资金的组织实施工作，提高区科技与产业发展专项资金使用效益和管理水平，依据《宝安区区级财政专项资金管理办法》（深宝规〔20</w:t>
      </w:r>
      <w:r>
        <w:rPr>
          <w:rFonts w:ascii="仿宋_GB2312" w:hAnsi="微软雅黑" w:eastAsia="仿宋_GB2312" w:cs="宋体"/>
          <w:color w:val="000000"/>
          <w:kern w:val="0"/>
          <w:sz w:val="32"/>
          <w:szCs w:val="32"/>
        </w:rPr>
        <w:t>20</w:t>
      </w:r>
      <w:r>
        <w:rPr>
          <w:rFonts w:hint="eastAsia" w:ascii="仿宋_GB2312" w:hAnsi="微软雅黑" w:eastAsia="仿宋_GB2312" w:cs="宋体"/>
          <w:color w:val="000000"/>
          <w:kern w:val="0"/>
          <w:sz w:val="32"/>
          <w:szCs w:val="32"/>
        </w:rPr>
        <w:t>〕2号）和《宝安区科技与产业发展专项资金管理办法》（深宝规〔20</w:t>
      </w:r>
      <w:r>
        <w:rPr>
          <w:rFonts w:ascii="仿宋_GB2312" w:hAnsi="微软雅黑" w:eastAsia="仿宋_GB2312" w:cs="宋体"/>
          <w:color w:val="000000"/>
          <w:kern w:val="0"/>
          <w:sz w:val="32"/>
          <w:szCs w:val="32"/>
        </w:rPr>
        <w:t>20</w:t>
      </w:r>
      <w:r>
        <w:rPr>
          <w:rFonts w:hint="eastAsia" w:ascii="仿宋_GB2312" w:hAnsi="微软雅黑" w:eastAsia="仿宋_GB2312" w:cs="宋体"/>
          <w:color w:val="000000"/>
          <w:kern w:val="0"/>
          <w:sz w:val="32"/>
          <w:szCs w:val="32"/>
        </w:rPr>
        <w:t>〕3号）的有关规定，制定本操作规程。</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二、本操作规程规定的扶持措施资助项目从区科技与产业发展专项资金列支，为核准类项目，采取事后资助方式。项目资助实行自愿申报、社会公示、政府决策的管理模式。</w:t>
      </w:r>
    </w:p>
    <w:p>
      <w:pPr>
        <w:widowControl/>
        <w:shd w:val="clear" w:color="auto" w:fill="FFFFFF"/>
        <w:adjustRightInd w:val="0"/>
        <w:spacing w:line="450" w:lineRule="atLeast"/>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xml:space="preserve">    三、本操作规程适用于深圳市宝安区</w:t>
      </w:r>
      <w:r>
        <w:rPr>
          <w:rFonts w:hint="eastAsia" w:ascii="仿宋_GB2312" w:hAnsi="微软雅黑" w:eastAsia="仿宋_GB2312" w:cs="宋体"/>
          <w:kern w:val="0"/>
          <w:sz w:val="32"/>
          <w:szCs w:val="32"/>
        </w:rPr>
        <w:t>人力资源局组织实施的人力资源服务业资金扶持计划。扶持类别包括人力资源服务业优质企业奖励、经营发展奖励、专业活动</w:t>
      </w:r>
      <w:r>
        <w:rPr>
          <w:rFonts w:ascii="仿宋_GB2312" w:hAnsi="微软雅黑" w:eastAsia="仿宋_GB2312" w:cs="宋体"/>
          <w:kern w:val="0"/>
          <w:sz w:val="32"/>
          <w:szCs w:val="32"/>
        </w:rPr>
        <w:t>补贴</w:t>
      </w:r>
      <w:r>
        <w:rPr>
          <w:rFonts w:hint="eastAsia" w:ascii="仿宋_GB2312" w:hAnsi="微软雅黑" w:eastAsia="仿宋_GB2312" w:cs="宋体"/>
          <w:kern w:val="0"/>
          <w:sz w:val="32"/>
          <w:szCs w:val="32"/>
        </w:rPr>
        <w:t>、办公用房</w:t>
      </w:r>
      <w:r>
        <w:rPr>
          <w:rFonts w:ascii="仿宋_GB2312" w:hAnsi="微软雅黑" w:eastAsia="仿宋_GB2312" w:cs="宋体"/>
          <w:kern w:val="0"/>
          <w:sz w:val="32"/>
          <w:szCs w:val="32"/>
        </w:rPr>
        <w:t>租金</w:t>
      </w:r>
      <w:r>
        <w:rPr>
          <w:rFonts w:hint="eastAsia" w:ascii="仿宋_GB2312" w:hAnsi="微软雅黑" w:eastAsia="仿宋_GB2312" w:cs="宋体"/>
          <w:kern w:val="0"/>
          <w:sz w:val="32"/>
          <w:szCs w:val="32"/>
        </w:rPr>
        <w:t>补贴</w:t>
      </w:r>
      <w:r>
        <w:rPr>
          <w:rFonts w:hint="eastAsia" w:ascii="仿宋_GB2312" w:hAnsi="微软雅黑" w:eastAsia="仿宋_GB2312" w:cs="宋体"/>
          <w:color w:val="000000"/>
          <w:kern w:val="0"/>
          <w:sz w:val="32"/>
          <w:szCs w:val="32"/>
        </w:rPr>
        <w:t>、办公用房购置补贴等。</w:t>
      </w:r>
    </w:p>
    <w:p>
      <w:pPr>
        <w:widowControl/>
        <w:shd w:val="clear" w:color="auto" w:fill="FFFFFF"/>
        <w:adjustRightInd w:val="0"/>
        <w:spacing w:line="450" w:lineRule="atLeast"/>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　　四、《宝安区关于促进专业服务业发展的若干措施》（深宝规[2020]4号）规定的用地支持、企业人才住房保障及高层次人才保障等支持措施，按照区有关重点产业项目遴选、人才住房保障、高层次人才发展等相关文件的规定另行组织实施。</w:t>
      </w:r>
    </w:p>
    <w:p>
      <w:pPr>
        <w:widowControl/>
        <w:adjustRightInd w:val="0"/>
        <w:jc w:val="left"/>
        <w:rPr>
          <w:rFonts w:ascii="仿宋_GB2312" w:eastAsia="仿宋_GB2312" w:cs="仿宋_GB2312" w:hAnsiTheme="majorEastAsia"/>
          <w:b/>
          <w:bCs/>
          <w:color w:val="000000" w:themeColor="text1"/>
          <w:kern w:val="36"/>
          <w:sz w:val="32"/>
          <w:szCs w:val="32"/>
        </w:rPr>
      </w:pPr>
      <w:r>
        <w:rPr>
          <w:rFonts w:ascii="仿宋_GB2312" w:eastAsia="仿宋_GB2312" w:cs="仿宋_GB2312" w:hAnsiTheme="majorEastAsia"/>
          <w:color w:val="000000" w:themeColor="text1"/>
          <w:sz w:val="32"/>
          <w:szCs w:val="32"/>
        </w:rPr>
        <w:br w:type="page"/>
      </w:r>
    </w:p>
    <w:p>
      <w:pPr>
        <w:pStyle w:val="2"/>
        <w:adjustRightInd w:val="0"/>
        <w:spacing w:before="0" w:beforeAutospacing="0" w:after="0" w:afterAutospacing="0" w:line="540" w:lineRule="exact"/>
        <w:jc w:val="center"/>
        <w:rPr>
          <w:rFonts w:cs="仿宋_GB2312" w:asciiTheme="minorEastAsia" w:hAnsiTheme="minorEastAsia" w:eastAsiaTheme="minorEastAsia"/>
          <w:color w:val="000000" w:themeColor="text1"/>
          <w:sz w:val="36"/>
          <w:szCs w:val="36"/>
        </w:rPr>
      </w:pPr>
      <w:bookmarkStart w:id="3" w:name="_Toc1594"/>
      <w:r>
        <w:rPr>
          <w:rFonts w:hint="eastAsia" w:cs="仿宋_GB2312" w:asciiTheme="minorEastAsia" w:hAnsiTheme="minorEastAsia" w:eastAsiaTheme="minorEastAsia"/>
          <w:color w:val="000000" w:themeColor="text1"/>
          <w:sz w:val="36"/>
          <w:szCs w:val="36"/>
        </w:rPr>
        <w:t>第二章 一般申报要求和审批流程</w:t>
      </w:r>
      <w:bookmarkEnd w:id="3"/>
    </w:p>
    <w:p>
      <w:pPr>
        <w:pStyle w:val="2"/>
        <w:adjustRightInd w:val="0"/>
        <w:spacing w:before="0" w:beforeAutospacing="0" w:after="0" w:afterAutospacing="0" w:line="540" w:lineRule="exact"/>
        <w:jc w:val="center"/>
        <w:rPr>
          <w:rFonts w:ascii="仿宋_GB2312" w:eastAsia="仿宋_GB2312" w:cs="仿宋_GB2312" w:hAnsiTheme="majorEastAsia"/>
          <w:color w:val="000000" w:themeColor="text1"/>
          <w:sz w:val="32"/>
          <w:szCs w:val="32"/>
        </w:rPr>
      </w:pP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一、申报主体原则上应符合下列基本条件，第三章有特殊要求的除外：</w:t>
      </w:r>
    </w:p>
    <w:p>
      <w:pPr>
        <w:widowControl/>
        <w:shd w:val="clear" w:color="auto" w:fill="FFFFFF"/>
        <w:adjustRightInd w:val="0"/>
        <w:spacing w:line="450" w:lineRule="atLeast"/>
        <w:ind w:firstLine="640" w:firstLineChars="200"/>
        <w:jc w:val="left"/>
        <w:rPr>
          <w:rFonts w:ascii="仿宋_GB2312" w:hAnsi="微软雅黑" w:eastAsia="仿宋_GB2312" w:cs="宋体"/>
          <w:color w:val="auto"/>
          <w:kern w:val="0"/>
          <w:sz w:val="32"/>
          <w:szCs w:val="32"/>
          <w:highlight w:val="none"/>
          <w:u w:val="double" w:color="FF0000"/>
        </w:rPr>
      </w:pPr>
      <w:r>
        <w:rPr>
          <w:rFonts w:hint="eastAsia" w:ascii="仿宋_GB2312" w:hAnsi="微软雅黑" w:eastAsia="仿宋_GB2312" w:cs="宋体"/>
          <w:kern w:val="0"/>
          <w:sz w:val="32"/>
          <w:szCs w:val="32"/>
        </w:rPr>
        <w:t>在宝安区依法设立、依法纳统、依法纳税，从事人力资源服务并依法办理人力资源服务登记备案（或劳务派遣经营许可）的独立法人企业。经营项目以人力资源服务为主（人力资源服务营业收入占总营业额50%以上），</w:t>
      </w:r>
      <w:r>
        <w:rPr>
          <w:rFonts w:hint="eastAsia" w:ascii="仿宋_GB2312" w:hAnsi="微软雅黑" w:eastAsia="仿宋_GB2312" w:cs="宋体"/>
          <w:color w:val="auto"/>
          <w:kern w:val="0"/>
          <w:sz w:val="32"/>
          <w:szCs w:val="32"/>
          <w:u w:val="double" w:color="FF0000"/>
        </w:rPr>
        <w:t>人力资源服务营业收入</w:t>
      </w:r>
      <w:r>
        <w:rPr>
          <w:rFonts w:hint="eastAsia" w:ascii="仿宋_GB2312" w:hAnsi="微软雅黑" w:eastAsia="仿宋_GB2312" w:cs="宋体"/>
          <w:color w:val="auto"/>
          <w:kern w:val="0"/>
          <w:sz w:val="32"/>
          <w:szCs w:val="32"/>
          <w:u w:val="double" w:color="FF0000"/>
          <w:lang w:val="en-US" w:eastAsia="zh-CN"/>
        </w:rPr>
        <w:t>(不含代收代支）</w:t>
      </w:r>
      <w:r>
        <w:rPr>
          <w:rFonts w:hint="eastAsia" w:ascii="仿宋_GB2312" w:hAnsi="微软雅黑" w:eastAsia="仿宋_GB2312" w:cs="宋体"/>
          <w:color w:val="auto"/>
          <w:kern w:val="0"/>
          <w:sz w:val="32"/>
          <w:szCs w:val="32"/>
          <w:highlight w:val="none"/>
          <w:u w:val="double" w:color="FF0000"/>
        </w:rPr>
        <w:t>达到奖励和补贴标准。</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二、申报主体应提交以下基本材料：</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（一）宝安区人力资源服务业资金扶持项目申请表；</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（二）工商营业执照复印件；</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（三）法定代表人身份证明书、授权委托书，法定代表人身份证复印件和项目经办人身份证复印件（法定代表人身份证无须验原件）；</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color w:val="000000"/>
          <w:kern w:val="0"/>
          <w:sz w:val="32"/>
          <w:szCs w:val="32"/>
        </w:rPr>
        <w:t>（四）银行开户证</w:t>
      </w:r>
      <w:r>
        <w:rPr>
          <w:rFonts w:hint="eastAsia" w:ascii="仿宋_GB2312" w:hAnsi="微软雅黑" w:eastAsia="仿宋_GB2312" w:cs="宋体"/>
          <w:kern w:val="0"/>
          <w:sz w:val="32"/>
          <w:szCs w:val="32"/>
        </w:rPr>
        <w:t>明及银行卡复印件；</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（五）企业近三年度纳税证明（成立不满三年的根据实际经营年限提供相应经营年限的纳税证明）；</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（六）企业近三年度社保缴纳证明（成立不满三年的根据实际经营年限提供相应经营年限的社保缴纳证明）；</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（七）企业近三年度</w:t>
      </w:r>
      <w:r>
        <w:rPr>
          <w:rFonts w:hint="eastAsia" w:ascii="仿宋_GB2312" w:hAnsi="微软雅黑" w:eastAsia="仿宋_GB2312" w:cs="宋体"/>
          <w:kern w:val="0"/>
          <w:sz w:val="32"/>
          <w:szCs w:val="32"/>
          <w:highlight w:val="none"/>
        </w:rPr>
        <w:t>能体现营业收入不含代收代支的专项审计报告（成立不满三年的根据实际经营年限提供相应的专项审计报告），专项审计报告应具备附件*模板中载明的全部要素；</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（八）公共信用信息查询报告（通过深圳市公共信用平台打印）；</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（九）</w:t>
      </w:r>
      <w:commentRangeStart w:id="0"/>
      <w:r>
        <w:rPr>
          <w:rFonts w:hint="eastAsia" w:ascii="仿宋_GB2312" w:hAnsi="微软雅黑" w:eastAsia="仿宋_GB2312" w:cs="宋体"/>
          <w:kern w:val="0"/>
          <w:sz w:val="32"/>
          <w:szCs w:val="32"/>
        </w:rPr>
        <w:t>人力资源服务机构登记备案凭证</w:t>
      </w:r>
      <w:commentRangeEnd w:id="0"/>
      <w:r>
        <w:commentReference w:id="0"/>
      </w:r>
      <w:r>
        <w:rPr>
          <w:rFonts w:hint="eastAsia" w:ascii="仿宋_GB2312" w:hAnsi="微软雅黑" w:eastAsia="仿宋_GB2312" w:cs="宋体"/>
          <w:kern w:val="0"/>
          <w:sz w:val="32"/>
          <w:szCs w:val="32"/>
        </w:rPr>
        <w:t>（或劳务派遣经营许可证）复印件。</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除前述基本材料外，不同资助措施项目还需提交的对应专项申请资料，具体要求详见本规程第三章。</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三、本规程所指优质企业是指</w:t>
      </w:r>
      <w:r>
        <w:rPr>
          <w:rFonts w:hint="eastAsia" w:ascii="仿宋_GB2312" w:hAnsi="仿宋_GB2312" w:eastAsia="仿宋_GB2312" w:cs="仿宋_GB2312"/>
          <w:sz w:val="32"/>
          <w:szCs w:val="32"/>
        </w:rPr>
        <w:t>年营业额</w:t>
      </w:r>
      <w:r>
        <w:rPr>
          <w:rFonts w:ascii="仿宋_GB2312" w:hAnsi="仿宋_GB2312" w:eastAsia="仿宋_GB2312" w:cs="仿宋_GB2312"/>
          <w:sz w:val="32"/>
          <w:szCs w:val="32"/>
        </w:rPr>
        <w:t>3000万元及以上且纳税300万元及以上的人力资源公司或HRoot</w:t>
      </w:r>
      <w:r>
        <w:rPr>
          <w:rFonts w:hint="eastAsia" w:ascii="仿宋_GB2312" w:hAnsi="仿宋_GB2312" w:eastAsia="仿宋_GB2312" w:cs="仿宋_GB2312"/>
          <w:sz w:val="32"/>
          <w:szCs w:val="32"/>
        </w:rPr>
        <w:t>公司每年度推出的“大中华区人力资源服务品牌</w:t>
      </w:r>
      <w:r>
        <w:rPr>
          <w:rFonts w:ascii="仿宋_GB2312" w:hAnsi="仿宋_GB2312" w:eastAsia="仿宋_GB2312" w:cs="仿宋_GB2312"/>
          <w:sz w:val="32"/>
          <w:szCs w:val="32"/>
        </w:rPr>
        <w:t>100强”</w:t>
      </w:r>
      <w:r>
        <w:rPr>
          <w:rFonts w:hint="eastAsia" w:ascii="仿宋_GB2312" w:hAnsi="微软雅黑" w:eastAsia="仿宋_GB2312" w:cs="宋体"/>
          <w:kern w:val="0"/>
          <w:sz w:val="32"/>
          <w:szCs w:val="32"/>
        </w:rPr>
        <w:t>的企业</w:t>
      </w:r>
      <w:r>
        <w:rPr>
          <w:rFonts w:hint="eastAsia" w:ascii="仿宋_GB2312" w:hAnsi="仿宋_GB2312" w:eastAsia="仿宋_GB2312" w:cs="仿宋_GB2312"/>
          <w:sz w:val="32"/>
          <w:szCs w:val="32"/>
        </w:rPr>
        <w:t>。</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rPr>
      </w:pPr>
      <w:commentRangeStart w:id="1"/>
      <w:r>
        <w:rPr>
          <w:rFonts w:hint="eastAsia" w:ascii="仿宋_GB2312" w:hAnsi="微软雅黑" w:eastAsia="仿宋_GB2312" w:cs="宋体"/>
          <w:kern w:val="0"/>
          <w:sz w:val="32"/>
          <w:szCs w:val="32"/>
        </w:rPr>
        <w:t>四、申报单位应按本操作规程的要求提供真实、完整的申请材料，每一项材料应加盖公章，各类证照、证明文件复印件需验原件。材料一般要求一式两份，用 A4 纸装订成册。</w:t>
      </w:r>
      <w:commentRangeEnd w:id="1"/>
      <w:r>
        <w:commentReference w:id="1"/>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五、项目审批应履行下列一般流程，不同项目的补充流程，由业务主管部门根据本规程第三章的具体要求组织开展：</w:t>
      </w:r>
    </w:p>
    <w:p>
      <w:pPr>
        <w:widowControl/>
        <w:shd w:val="clear" w:color="auto" w:fill="FFFFFF"/>
        <w:adjustRightInd w:val="0"/>
        <w:spacing w:line="450" w:lineRule="atLeast"/>
        <w:ind w:firstLine="640" w:firstLineChars="200"/>
        <w:jc w:val="left"/>
        <w:rPr>
          <w:rFonts w:ascii="仿宋_GB2312" w:hAnsi="宋体" w:eastAsia="仿宋_GB2312" w:cs="仿宋_GB2312"/>
          <w:kern w:val="0"/>
          <w:sz w:val="32"/>
          <w:szCs w:val="32"/>
          <w:highlight w:val="none"/>
        </w:rPr>
      </w:pPr>
      <w:r>
        <w:rPr>
          <w:rFonts w:hint="eastAsia" w:ascii="仿宋_GB2312" w:hAnsi="微软雅黑" w:eastAsia="仿宋_GB2312" w:cs="宋体"/>
          <w:kern w:val="0"/>
          <w:sz w:val="32"/>
          <w:szCs w:val="32"/>
          <w:highlight w:val="none"/>
        </w:rPr>
        <w:t>（一）启动申报：宝安区人力资源局每年</w:t>
      </w:r>
      <w:r>
        <w:rPr>
          <w:rFonts w:hint="eastAsia" w:ascii="仿宋_GB2312" w:hAnsi="宋体" w:eastAsia="仿宋_GB2312" w:cs="仿宋_GB2312"/>
          <w:kern w:val="0"/>
          <w:sz w:val="32"/>
          <w:szCs w:val="32"/>
          <w:highlight w:val="none"/>
        </w:rPr>
        <w:t>在</w:t>
      </w:r>
      <w:r>
        <w:rPr>
          <w:rFonts w:hint="eastAsia" w:ascii="仿宋_GB2312" w:hAnsi="微软雅黑" w:eastAsia="仿宋_GB2312" w:cs="宋体"/>
          <w:kern w:val="0"/>
          <w:sz w:val="32"/>
          <w:szCs w:val="32"/>
          <w:highlight w:val="none"/>
        </w:rPr>
        <w:t>宝安政府或宝安区人力资源局官方网页</w:t>
      </w:r>
      <w:r>
        <w:rPr>
          <w:rFonts w:hint="eastAsia" w:ascii="仿宋_GB2312" w:hAnsi="宋体" w:eastAsia="仿宋_GB2312" w:cs="仿宋_GB2312"/>
          <w:kern w:val="0"/>
          <w:sz w:val="32"/>
          <w:szCs w:val="32"/>
          <w:highlight w:val="none"/>
        </w:rPr>
        <w:t>等媒体上</w:t>
      </w:r>
      <w:r>
        <w:rPr>
          <w:rFonts w:ascii="仿宋_GB2312" w:hAnsi="宋体" w:eastAsia="仿宋_GB2312" w:cs="仿宋_GB2312"/>
          <w:kern w:val="0"/>
          <w:sz w:val="32"/>
          <w:szCs w:val="32"/>
          <w:highlight w:val="none"/>
        </w:rPr>
        <w:t>发布项目申报通知，组织项目申报。</w:t>
      </w:r>
    </w:p>
    <w:p>
      <w:pPr>
        <w:widowControl/>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（二）材料接收：在通知规定时间内由宝安区行政服务大厅综合窗口接收企业申报材料，</w:t>
      </w:r>
      <w:r>
        <w:rPr>
          <w:rFonts w:ascii="仿宋_GB2312" w:hAnsi="宋体" w:eastAsia="仿宋_GB2312" w:cs="仿宋_GB2312"/>
          <w:kern w:val="0"/>
          <w:sz w:val="32"/>
          <w:szCs w:val="32"/>
          <w:highlight w:val="none"/>
        </w:rPr>
        <w:t>并进行形式审查。资料不齐全的，应当指导和释明后退回</w:t>
      </w:r>
      <w:r>
        <w:rPr>
          <w:rFonts w:hint="eastAsia" w:ascii="仿宋_GB2312" w:hAnsi="宋体" w:eastAsia="仿宋_GB2312" w:cs="仿宋_GB2312"/>
          <w:kern w:val="0"/>
          <w:sz w:val="32"/>
          <w:szCs w:val="32"/>
          <w:highlight w:val="none"/>
        </w:rPr>
        <w:t>，并一次性告知申请单位需要补充的资料；资料齐全且符合受理条件的，出具材料接收回执。</w:t>
      </w:r>
    </w:p>
    <w:p>
      <w:pPr>
        <w:widowControl/>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（三）材料审查：宝安区人力资源局会同有关部门</w:t>
      </w:r>
      <w:r>
        <w:rPr>
          <w:rFonts w:ascii="仿宋_GB2312" w:hAnsi="宋体" w:eastAsia="仿宋_GB2312" w:cs="仿宋_GB2312"/>
          <w:kern w:val="0"/>
          <w:sz w:val="32"/>
          <w:szCs w:val="32"/>
          <w:highlight w:val="none"/>
        </w:rPr>
        <w:t>严格按照资金扶持政策和操</w:t>
      </w:r>
      <w:r>
        <w:rPr>
          <w:rFonts w:hint="eastAsia" w:ascii="仿宋_GB2312" w:hAnsi="宋体" w:eastAsia="仿宋_GB2312" w:cs="仿宋_GB2312"/>
          <w:kern w:val="0"/>
          <w:sz w:val="32"/>
          <w:szCs w:val="32"/>
          <w:highlight w:val="none"/>
        </w:rPr>
        <w:t>作规程</w:t>
      </w:r>
      <w:r>
        <w:rPr>
          <w:rFonts w:ascii="仿宋_GB2312" w:hAnsi="宋体" w:eastAsia="仿宋_GB2312" w:cs="仿宋_GB2312"/>
          <w:kern w:val="0"/>
          <w:sz w:val="32"/>
          <w:szCs w:val="32"/>
          <w:highlight w:val="none"/>
        </w:rPr>
        <w:t>核查申报材料的完整性、合法性、有效性以及申报材</w:t>
      </w:r>
      <w:r>
        <w:rPr>
          <w:rFonts w:hint="eastAsia" w:ascii="仿宋_GB2312" w:hAnsi="宋体" w:eastAsia="仿宋_GB2312" w:cs="仿宋_GB2312"/>
          <w:kern w:val="0"/>
          <w:sz w:val="32"/>
          <w:szCs w:val="32"/>
          <w:highlight w:val="none"/>
        </w:rPr>
        <w:t>料内容是否符合资助政策要求，</w:t>
      </w:r>
      <w:r>
        <w:rPr>
          <w:rFonts w:hint="eastAsia" w:ascii="仿宋_GB2312" w:hAnsi="宋体" w:eastAsia="仿宋_GB2312" w:cs="仿宋_GB2312"/>
          <w:kern w:val="0"/>
          <w:sz w:val="32"/>
          <w:szCs w:val="32"/>
          <w:highlight w:val="none"/>
          <w:u w:val="double" w:color="FF0000"/>
        </w:rPr>
        <w:t>并可以根据需要委托第三方机构对</w:t>
      </w:r>
      <w:commentRangeStart w:id="2"/>
      <w:r>
        <w:rPr>
          <w:rFonts w:hint="eastAsia" w:ascii="仿宋_GB2312" w:hAnsi="宋体" w:eastAsia="仿宋_GB2312" w:cs="仿宋_GB2312"/>
          <w:kern w:val="0"/>
          <w:sz w:val="32"/>
          <w:szCs w:val="32"/>
          <w:highlight w:val="none"/>
          <w:u w:val="double" w:color="FF0000"/>
        </w:rPr>
        <w:t>申请企业</w:t>
      </w:r>
      <w:commentRangeEnd w:id="2"/>
      <w:r>
        <w:rPr>
          <w:highlight w:val="none"/>
          <w:u w:val="double" w:color="FF0000"/>
        </w:rPr>
        <w:commentReference w:id="2"/>
      </w:r>
      <w:r>
        <w:rPr>
          <w:rFonts w:hint="eastAsia" w:ascii="仿宋_GB2312" w:hAnsi="宋体" w:eastAsia="仿宋_GB2312" w:cs="仿宋_GB2312"/>
          <w:kern w:val="0"/>
          <w:sz w:val="32"/>
          <w:szCs w:val="32"/>
          <w:highlight w:val="none"/>
          <w:u w:val="double" w:color="FF0000"/>
        </w:rPr>
        <w:t>的营业收入及纳税情况进行核实</w:t>
      </w:r>
      <w:r>
        <w:rPr>
          <w:rFonts w:hint="eastAsia" w:ascii="仿宋_GB2312" w:hAnsi="宋体" w:eastAsia="仿宋_GB2312" w:cs="仿宋_GB2312"/>
          <w:kern w:val="0"/>
          <w:sz w:val="32"/>
          <w:szCs w:val="32"/>
          <w:highlight w:val="none"/>
        </w:rPr>
        <w:t>。</w:t>
      </w:r>
      <w:r>
        <w:rPr>
          <w:rFonts w:hint="eastAsia" w:ascii="仿宋_GB2312" w:hAnsi="微软雅黑" w:eastAsia="仿宋_GB2312" w:cs="宋体"/>
          <w:kern w:val="0"/>
          <w:sz w:val="32"/>
          <w:szCs w:val="32"/>
          <w:highlight w:val="none"/>
        </w:rPr>
        <w:t>需要补</w:t>
      </w:r>
      <w:r>
        <w:rPr>
          <w:rFonts w:hint="eastAsia" w:ascii="仿宋_GB2312" w:hAnsi="微软雅黑" w:eastAsia="仿宋_GB2312" w:cs="宋体"/>
          <w:color w:val="000000"/>
          <w:kern w:val="0"/>
          <w:sz w:val="32"/>
          <w:szCs w:val="32"/>
          <w:highlight w:val="none"/>
        </w:rPr>
        <w:t>充材料的，申报主体</w:t>
      </w:r>
      <w:r>
        <w:rPr>
          <w:rFonts w:hint="eastAsia" w:ascii="仿宋_GB2312" w:hAnsi="微软雅黑" w:eastAsia="仿宋_GB2312" w:cs="宋体"/>
          <w:kern w:val="0"/>
          <w:sz w:val="32"/>
          <w:szCs w:val="32"/>
          <w:highlight w:val="none"/>
        </w:rPr>
        <w:t>应在收到宝安区人力资源局电话或短信告知后5个工作日内补充申报材料，逾期视为放弃申报。</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四）征求意见：宝安区人力资源局就拟资助的企业名单在深圳市公共信用网查询，征求区发展改革局、财政局、司法局、工业和信息化局、科技创新局、投资推广署、市市场监督管理局宝安监管局、住房和建设局等部门及所在街道办意见，核查申请企业是否存在不应予资助的情形。</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（五）对外公示：宝安区人力资源局将拟资助的企业名单在宝安政府或宝安区人力资源局官方网页</w:t>
      </w:r>
      <w:r>
        <w:rPr>
          <w:rFonts w:hint="eastAsia" w:ascii="仿宋_GB2312" w:hAnsi="宋体" w:eastAsia="仿宋_GB2312" w:cs="仿宋_GB2312"/>
          <w:kern w:val="0"/>
          <w:sz w:val="32"/>
          <w:szCs w:val="32"/>
          <w:highlight w:val="none"/>
        </w:rPr>
        <w:t>等媒体上</w:t>
      </w:r>
      <w:r>
        <w:rPr>
          <w:rFonts w:hint="eastAsia" w:ascii="仿宋_GB2312" w:hAnsi="微软雅黑" w:eastAsia="仿宋_GB2312" w:cs="宋体"/>
          <w:kern w:val="0"/>
          <w:sz w:val="32"/>
          <w:szCs w:val="32"/>
          <w:highlight w:val="none"/>
        </w:rPr>
        <w:t>公示5个工作日。</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（六）纳税核查：公示无异议或异议不成立的，</w:t>
      </w:r>
      <w:commentRangeStart w:id="3"/>
      <w:r>
        <w:rPr>
          <w:rFonts w:hint="eastAsia" w:ascii="仿宋_GB2312" w:hAnsi="微软雅黑" w:eastAsia="仿宋_GB2312" w:cs="宋体"/>
          <w:kern w:val="0"/>
          <w:sz w:val="32"/>
          <w:szCs w:val="32"/>
          <w:highlight w:val="none"/>
        </w:rPr>
        <w:t>报</w:t>
      </w:r>
      <w:commentRangeEnd w:id="3"/>
      <w:r>
        <w:rPr>
          <w:highlight w:val="none"/>
        </w:rPr>
        <w:commentReference w:id="3"/>
      </w:r>
      <w:r>
        <w:rPr>
          <w:rFonts w:hint="eastAsia" w:ascii="仿宋_GB2312" w:hAnsi="微软雅黑" w:eastAsia="仿宋_GB2312" w:cs="宋体"/>
          <w:kern w:val="0"/>
          <w:sz w:val="32"/>
          <w:szCs w:val="32"/>
          <w:highlight w:val="none"/>
        </w:rPr>
        <w:t>区科技与产业发展专项资金领导小组办公室核查专项资金对企业的总资助金额是否超过其上年度纳税总额。</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（七）审定：按照《宝安区科技与产业发展专项资金管理办法》规定，宝安区人力资源局按程序予以审定。</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（八）签订相关文件：单个项目获得资助100万元及以上的企业签订受资助承诺书；领取办公用房购置补贴的企业与宝安区人力资源局签订产业发展监管协议。</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（九）承诺书公示：对单个项目获得资助100万元及以上企业签订的受资助承诺书及资助情况在宝安政府或宝安区人力资源局官方网页</w:t>
      </w:r>
      <w:r>
        <w:rPr>
          <w:rFonts w:hint="eastAsia" w:ascii="仿宋_GB2312" w:hAnsi="宋体" w:eastAsia="仿宋_GB2312" w:cs="仿宋_GB2312"/>
          <w:kern w:val="0"/>
          <w:sz w:val="32"/>
          <w:szCs w:val="32"/>
          <w:highlight w:val="none"/>
        </w:rPr>
        <w:t>等媒体上</w:t>
      </w:r>
      <w:r>
        <w:rPr>
          <w:rFonts w:hint="eastAsia" w:ascii="仿宋_GB2312" w:hAnsi="微软雅黑" w:eastAsia="仿宋_GB2312" w:cs="宋体"/>
          <w:kern w:val="0"/>
          <w:sz w:val="32"/>
          <w:szCs w:val="32"/>
          <w:highlight w:val="none"/>
        </w:rPr>
        <w:t>公示5个工作日。</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（十）资金拨付：宝安区人力资源局按国库集中支付有关规</w:t>
      </w:r>
    </w:p>
    <w:p>
      <w:pPr>
        <w:widowControl/>
        <w:shd w:val="clear" w:color="auto" w:fill="FFFFFF"/>
        <w:adjustRightInd w:val="0"/>
        <w:spacing w:line="450" w:lineRule="atLeast"/>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定编制预算并在下一财政年度办理拨款手续。</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六、本规程内扶持措施项目申报时间根据申报通知的有关规定执行。一般流程的审查核定时限（包括材料审查、征求意见、对外公示等环节）为纸质材料提交截止日起 90 个工作日。补正申请材料、现场项目核查及提请相关会议审议的时间不纳入审查核定的法定时限内。</w:t>
      </w:r>
    </w:p>
    <w:p>
      <w:pPr>
        <w:widowControl/>
        <w:adjustRightInd w:val="0"/>
        <w:jc w:val="left"/>
        <w:rPr>
          <w:rFonts w:ascii="仿宋_GB2312" w:eastAsia="仿宋_GB2312" w:cs="仿宋_GB2312" w:hAnsiTheme="majorEastAsia"/>
          <w:b/>
          <w:bCs/>
          <w:color w:val="000000" w:themeColor="text1"/>
          <w:kern w:val="36"/>
          <w:sz w:val="32"/>
          <w:szCs w:val="32"/>
          <w:highlight w:val="none"/>
        </w:rPr>
      </w:pPr>
      <w:r>
        <w:rPr>
          <w:rFonts w:ascii="仿宋_GB2312" w:eastAsia="仿宋_GB2312" w:cs="仿宋_GB2312" w:hAnsiTheme="majorEastAsia"/>
          <w:color w:val="000000" w:themeColor="text1"/>
          <w:sz w:val="32"/>
          <w:szCs w:val="32"/>
          <w:highlight w:val="none"/>
        </w:rPr>
        <w:br w:type="page"/>
      </w:r>
    </w:p>
    <w:p>
      <w:pPr>
        <w:pStyle w:val="2"/>
        <w:adjustRightInd w:val="0"/>
        <w:spacing w:before="0" w:beforeAutospacing="0" w:after="0" w:afterAutospacing="0" w:line="540" w:lineRule="exact"/>
        <w:jc w:val="center"/>
        <w:rPr>
          <w:rFonts w:cs="仿宋_GB2312" w:asciiTheme="minorEastAsia" w:hAnsiTheme="minorEastAsia" w:eastAsiaTheme="minorEastAsia"/>
          <w:color w:val="000000" w:themeColor="text1"/>
          <w:sz w:val="36"/>
          <w:szCs w:val="36"/>
          <w:highlight w:val="none"/>
        </w:rPr>
      </w:pPr>
      <w:bookmarkStart w:id="4" w:name="_Toc27621"/>
      <w:r>
        <w:rPr>
          <w:rFonts w:hint="eastAsia" w:cs="仿宋_GB2312" w:asciiTheme="minorEastAsia" w:hAnsiTheme="minorEastAsia" w:eastAsiaTheme="minorEastAsia"/>
          <w:color w:val="000000" w:themeColor="text1"/>
          <w:sz w:val="36"/>
          <w:szCs w:val="36"/>
          <w:highlight w:val="none"/>
        </w:rPr>
        <w:t>第三章 具体资助措施和标准</w:t>
      </w:r>
      <w:bookmarkEnd w:id="4"/>
    </w:p>
    <w:p>
      <w:pPr>
        <w:pStyle w:val="2"/>
        <w:adjustRightInd w:val="0"/>
        <w:spacing w:before="0" w:beforeAutospacing="0" w:after="0" w:afterAutospacing="0" w:line="540" w:lineRule="exact"/>
        <w:jc w:val="center"/>
        <w:rPr>
          <w:rFonts w:ascii="仿宋_GB2312" w:eastAsia="仿宋_GB2312" w:cs="仿宋_GB2312" w:hAnsiTheme="majorEastAsia"/>
          <w:color w:val="000000" w:themeColor="text1"/>
          <w:sz w:val="32"/>
          <w:szCs w:val="32"/>
          <w:highlight w:val="none"/>
        </w:rPr>
      </w:pPr>
    </w:p>
    <w:p>
      <w:pPr>
        <w:pStyle w:val="3"/>
        <w:adjustRightInd w:val="0"/>
        <w:spacing w:before="0" w:after="0"/>
        <w:ind w:firstLine="643" w:firstLineChars="200"/>
        <w:rPr>
          <w:rFonts w:ascii="仿宋_GB2312" w:hAnsi="黑体" w:eastAsia="仿宋_GB2312" w:cs="仿宋_GB2312"/>
          <w:bCs w:val="0"/>
          <w:color w:val="000000" w:themeColor="text1"/>
          <w:highlight w:val="none"/>
        </w:rPr>
      </w:pPr>
      <w:bookmarkStart w:id="5" w:name="_Toc22769"/>
      <w:r>
        <w:rPr>
          <w:rFonts w:hint="eastAsia" w:ascii="仿宋_GB2312" w:hAnsi="黑体" w:eastAsia="仿宋_GB2312" w:cs="仿宋_GB2312"/>
          <w:bCs w:val="0"/>
          <w:color w:val="000000" w:themeColor="text1"/>
          <w:highlight w:val="none"/>
        </w:rPr>
        <w:t>一、优质企业奖励操作规程</w:t>
      </w:r>
      <w:bookmarkEnd w:id="5"/>
      <w:r>
        <w:rPr>
          <w:rFonts w:hint="eastAsia" w:ascii="仿宋_GB2312" w:hAnsi="黑体" w:eastAsia="仿宋_GB2312" w:cs="仿宋_GB2312"/>
          <w:bCs w:val="0"/>
          <w:color w:val="000000" w:themeColor="text1"/>
          <w:highlight w:val="none"/>
        </w:rPr>
        <w:t xml:space="preserve"> </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（一）政策依据</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《宝安区促进专业服务业发展的若干措施》支持措施</w:t>
      </w:r>
      <w:r>
        <w:rPr>
          <w:rFonts w:ascii="仿宋_GB2312" w:hAnsi="微软雅黑" w:eastAsia="仿宋_GB2312" w:cs="宋体"/>
          <w:color w:val="000000"/>
          <w:kern w:val="0"/>
          <w:sz w:val="32"/>
          <w:szCs w:val="32"/>
          <w:highlight w:val="none"/>
        </w:rPr>
        <w:t>第</w:t>
      </w:r>
      <w:r>
        <w:rPr>
          <w:rFonts w:hint="eastAsia" w:ascii="仿宋_GB2312" w:hAnsi="微软雅黑" w:eastAsia="仿宋_GB2312" w:cs="宋体"/>
          <w:color w:val="000000"/>
          <w:kern w:val="0"/>
          <w:sz w:val="32"/>
          <w:szCs w:val="32"/>
          <w:highlight w:val="none"/>
        </w:rPr>
        <w:t>（一）</w:t>
      </w:r>
      <w:r>
        <w:rPr>
          <w:rFonts w:ascii="仿宋_GB2312" w:hAnsi="微软雅黑" w:eastAsia="仿宋_GB2312" w:cs="宋体"/>
          <w:color w:val="000000"/>
          <w:kern w:val="0"/>
          <w:sz w:val="32"/>
          <w:szCs w:val="32"/>
          <w:highlight w:val="none"/>
        </w:rPr>
        <w:t>项</w:t>
      </w:r>
      <w:r>
        <w:rPr>
          <w:rFonts w:hint="eastAsia" w:ascii="仿宋_GB2312" w:hAnsi="微软雅黑" w:eastAsia="仿宋_GB2312" w:cs="宋体"/>
          <w:color w:val="000000"/>
          <w:kern w:val="0"/>
          <w:sz w:val="32"/>
          <w:szCs w:val="32"/>
          <w:highlight w:val="none"/>
        </w:rPr>
        <w:t>：“</w:t>
      </w:r>
      <w:r>
        <w:rPr>
          <w:rFonts w:hint="eastAsia" w:ascii="仿宋_GB2312" w:hAnsi="仿宋_GB2312" w:eastAsia="仿宋_GB2312" w:cs="仿宋_GB2312"/>
          <w:sz w:val="32"/>
          <w:szCs w:val="32"/>
          <w:highlight w:val="none"/>
        </w:rPr>
        <w:t>鼓励优质律师事务所、会计师事务所、人力资源服务公司、工程技术与设计服务公司、科技服务公司、资产评估公司、知识产权服务公司、检验检测服务公司等在宝安区经营发展，按照其上一完整纳税年度区级财政贡献全额给予一次性奖励，最高不超过500万元。</w:t>
      </w:r>
      <w:r>
        <w:rPr>
          <w:rFonts w:hint="eastAsia" w:ascii="仿宋_GB2312" w:hAnsi="微软雅黑" w:eastAsia="仿宋_GB2312" w:cs="宋体"/>
          <w:color w:val="000000"/>
          <w:kern w:val="0"/>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（二）补贴条件</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申报主体应符合以下条件之一：</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1、上一年度</w:t>
      </w:r>
      <w:commentRangeStart w:id="4"/>
      <w:r>
        <w:rPr>
          <w:rFonts w:hint="eastAsia" w:ascii="仿宋_GB2312" w:hAnsi="仿宋_GB2312" w:eastAsia="仿宋_GB2312" w:cs="仿宋_GB2312"/>
          <w:sz w:val="32"/>
          <w:szCs w:val="32"/>
          <w:highlight w:val="none"/>
        </w:rPr>
        <w:t>年营业额</w:t>
      </w:r>
      <w:commentRangeEnd w:id="4"/>
      <w:r>
        <w:rPr>
          <w:highlight w:val="none"/>
        </w:rPr>
        <w:commentReference w:id="4"/>
      </w:r>
      <w:r>
        <w:rPr>
          <w:rFonts w:ascii="仿宋_GB2312" w:hAnsi="仿宋_GB2312" w:eastAsia="仿宋_GB2312" w:cs="仿宋_GB2312"/>
          <w:sz w:val="32"/>
          <w:szCs w:val="32"/>
          <w:highlight w:val="none"/>
        </w:rPr>
        <w:t>3000万元及以上且纳税300万元及以上的人力资源公司</w:t>
      </w:r>
      <w:r>
        <w:rPr>
          <w:rFonts w:hint="eastAsia" w:ascii="仿宋_GB2312" w:hAnsi="仿宋_GB2312" w:eastAsia="仿宋_GB2312" w:cs="仿宋_GB2312"/>
          <w:sz w:val="32"/>
          <w:szCs w:val="32"/>
          <w:highlight w:val="none"/>
          <w:u w:val="double" w:color="FF0000"/>
          <w:lang w:val="en-US" w:eastAsia="zh-CN"/>
        </w:rPr>
        <w:t>(营业收入不含代收代支）</w:t>
      </w:r>
      <w:r>
        <w:rPr>
          <w:rFonts w:hint="eastAsia" w:ascii="仿宋_GB2312" w:hAnsi="仿宋_GB2312" w:eastAsia="仿宋_GB2312" w:cs="仿宋_GB2312"/>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2、被列入</w:t>
      </w:r>
      <w:r>
        <w:rPr>
          <w:rFonts w:ascii="仿宋_GB2312" w:hAnsi="仿宋_GB2312" w:eastAsia="仿宋_GB2312" w:cs="仿宋_GB2312"/>
          <w:sz w:val="32"/>
          <w:szCs w:val="32"/>
          <w:highlight w:val="none"/>
        </w:rPr>
        <w:t>HRoot</w:t>
      </w:r>
      <w:r>
        <w:rPr>
          <w:rFonts w:hint="eastAsia" w:ascii="仿宋_GB2312" w:hAnsi="仿宋_GB2312" w:eastAsia="仿宋_GB2312" w:cs="仿宋_GB2312"/>
          <w:sz w:val="32"/>
          <w:szCs w:val="32"/>
          <w:highlight w:val="none"/>
        </w:rPr>
        <w:t>公司</w:t>
      </w:r>
      <w:r>
        <w:rPr>
          <w:rFonts w:hint="eastAsia" w:ascii="仿宋_GB2312" w:hAnsi="微软雅黑" w:eastAsia="仿宋_GB2312" w:cs="宋体"/>
          <w:kern w:val="0"/>
          <w:sz w:val="32"/>
          <w:szCs w:val="32"/>
          <w:highlight w:val="none"/>
        </w:rPr>
        <w:t>上一年度</w:t>
      </w:r>
      <w:r>
        <w:rPr>
          <w:rFonts w:hint="eastAsia" w:ascii="仿宋_GB2312" w:hAnsi="仿宋_GB2312" w:eastAsia="仿宋_GB2312" w:cs="仿宋_GB2312"/>
          <w:sz w:val="32"/>
          <w:szCs w:val="32"/>
          <w:highlight w:val="none"/>
        </w:rPr>
        <w:t>推出的“大中华区人力资源服务品牌</w:t>
      </w:r>
      <w:r>
        <w:rPr>
          <w:rFonts w:ascii="仿宋_GB2312" w:hAnsi="仿宋_GB2312" w:eastAsia="仿宋_GB2312" w:cs="仿宋_GB2312"/>
          <w:sz w:val="32"/>
          <w:szCs w:val="32"/>
          <w:highlight w:val="none"/>
        </w:rPr>
        <w:t>100强”</w:t>
      </w:r>
      <w:r>
        <w:rPr>
          <w:rFonts w:hint="eastAsia" w:ascii="仿宋_GB2312" w:hAnsi="微软雅黑" w:eastAsia="仿宋_GB2312" w:cs="宋体"/>
          <w:kern w:val="0"/>
          <w:sz w:val="32"/>
          <w:szCs w:val="32"/>
          <w:highlight w:val="none"/>
        </w:rPr>
        <w:t>的企业</w:t>
      </w:r>
      <w:r>
        <w:rPr>
          <w:rFonts w:hint="eastAsia" w:ascii="仿宋_GB2312" w:hAnsi="仿宋_GB2312" w:eastAsia="仿宋_GB2312" w:cs="仿宋_GB2312"/>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（三）补贴标准</w:t>
      </w:r>
    </w:p>
    <w:p>
      <w:pPr>
        <w:widowControl/>
        <w:shd w:val="clear" w:color="auto" w:fill="FFFFFF"/>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微软雅黑" w:eastAsia="仿宋_GB2312" w:cs="宋体"/>
          <w:kern w:val="0"/>
          <w:sz w:val="32"/>
          <w:szCs w:val="32"/>
          <w:highlight w:val="none"/>
        </w:rPr>
        <w:t>对符合条件的企业，</w:t>
      </w:r>
      <w:r>
        <w:rPr>
          <w:rFonts w:hint="eastAsia" w:ascii="仿宋_GB2312" w:hAnsi="仿宋_GB2312" w:eastAsia="仿宋_GB2312" w:cs="仿宋_GB2312"/>
          <w:sz w:val="32"/>
          <w:szCs w:val="32"/>
          <w:highlight w:val="none"/>
        </w:rPr>
        <w:t>按照其上一年度区级财政贡献全额给予一次性奖励，最高不超过500万元。</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（四）专项申请材料</w:t>
      </w:r>
    </w:p>
    <w:p>
      <w:pPr>
        <w:pStyle w:val="33"/>
        <w:widowControl/>
        <w:adjustRightInd w:val="0"/>
        <w:spacing w:line="450" w:lineRule="atLeast"/>
        <w:ind w:firstLine="640"/>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lang w:bidi="mn-Mong-CN"/>
        </w:rPr>
        <w:t>1</w:t>
      </w:r>
      <w:r>
        <w:rPr>
          <w:rFonts w:hint="eastAsia" w:ascii="仿宋_GB2312" w:hAnsi="微软雅黑" w:eastAsia="仿宋_GB2312" w:cs="宋体"/>
          <w:kern w:val="0"/>
          <w:sz w:val="32"/>
          <w:szCs w:val="32"/>
          <w:highlight w:val="none"/>
        </w:rPr>
        <w:t>、</w:t>
      </w:r>
      <w:r>
        <w:rPr>
          <w:rFonts w:hint="eastAsia" w:ascii="仿宋_GB2312" w:hAnsi="微软雅黑" w:eastAsia="仿宋_GB2312" w:cs="宋体"/>
          <w:kern w:val="0"/>
          <w:sz w:val="32"/>
          <w:szCs w:val="32"/>
          <w:highlight w:val="none"/>
          <w:lang w:bidi="mn-Mong-CN"/>
        </w:rPr>
        <w:t>优质企业证明材料（</w:t>
      </w:r>
      <w:r>
        <w:rPr>
          <w:rFonts w:hint="eastAsia" w:ascii="仿宋_GB2312" w:hAnsi="微软雅黑" w:eastAsia="仿宋_GB2312" w:cs="宋体"/>
          <w:kern w:val="0"/>
          <w:sz w:val="32"/>
          <w:szCs w:val="32"/>
          <w:highlight w:val="none"/>
        </w:rPr>
        <w:t>上年度审计</w:t>
      </w:r>
      <w:r>
        <w:rPr>
          <w:rFonts w:ascii="仿宋_GB2312" w:hAnsi="微软雅黑" w:eastAsia="仿宋_GB2312" w:cs="宋体"/>
          <w:kern w:val="0"/>
          <w:sz w:val="32"/>
          <w:szCs w:val="32"/>
          <w:highlight w:val="none"/>
        </w:rPr>
        <w:t>报告</w:t>
      </w:r>
      <w:r>
        <w:rPr>
          <w:rFonts w:hint="eastAsia" w:ascii="仿宋_GB2312" w:hAnsi="微软雅黑" w:eastAsia="仿宋_GB2312" w:cs="宋体"/>
          <w:kern w:val="0"/>
          <w:sz w:val="32"/>
          <w:szCs w:val="32"/>
          <w:highlight w:val="none"/>
          <w:lang w:bidi="mn-Mong-CN"/>
        </w:rPr>
        <w:t>、上年度纳税证明、上年度营业收入统计数据（通过国家统计联网直报平台打印，需为带水印的pdf文件）或</w:t>
      </w:r>
      <w:r>
        <w:rPr>
          <w:rFonts w:hint="eastAsia" w:ascii="仿宋_GB2312" w:hAnsi="微软雅黑" w:eastAsia="仿宋_GB2312" w:cs="宋体"/>
          <w:kern w:val="0"/>
          <w:sz w:val="32"/>
          <w:szCs w:val="32"/>
          <w:highlight w:val="none"/>
        </w:rPr>
        <w:t>上一年度被列入HRoot公司每年度推出的“大中华区人力资源服务品牌100强”的证明材料）</w:t>
      </w:r>
      <w:r>
        <w:rPr>
          <w:rFonts w:hint="eastAsia" w:ascii="仿宋_GB2312" w:hAnsi="微软雅黑" w:eastAsia="仿宋_GB2312" w:cs="宋体"/>
          <w:kern w:val="0"/>
          <w:sz w:val="32"/>
          <w:szCs w:val="32"/>
          <w:highlight w:val="none"/>
          <w:lang w:bidi="mn-Mong-CN"/>
        </w:rPr>
        <w:t>；</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2、企业在宝安经营</w:t>
      </w:r>
      <w:r>
        <w:rPr>
          <w:rFonts w:ascii="仿宋_GB2312" w:hAnsi="微软雅黑" w:eastAsia="仿宋_GB2312" w:cs="宋体"/>
          <w:kern w:val="0"/>
          <w:sz w:val="32"/>
          <w:szCs w:val="32"/>
          <w:highlight w:val="none"/>
        </w:rPr>
        <w:t>发展</w:t>
      </w:r>
      <w:r>
        <w:rPr>
          <w:rFonts w:hint="eastAsia" w:ascii="仿宋_GB2312" w:hAnsi="微软雅黑" w:eastAsia="仿宋_GB2312" w:cs="宋体"/>
          <w:kern w:val="0"/>
          <w:sz w:val="32"/>
          <w:szCs w:val="32"/>
          <w:highlight w:val="none"/>
        </w:rPr>
        <w:t>证明材料（</w:t>
      </w:r>
      <w:commentRangeStart w:id="5"/>
      <w:r>
        <w:rPr>
          <w:rFonts w:hint="eastAsia" w:ascii="仿宋_GB2312" w:hAnsi="微软雅黑" w:eastAsia="仿宋_GB2312" w:cs="宋体"/>
          <w:kern w:val="0"/>
          <w:sz w:val="32"/>
          <w:szCs w:val="32"/>
          <w:highlight w:val="none"/>
        </w:rPr>
        <w:t>人力资源服务机构登记备案凭证（或劳务派遣经营许可证）复印件</w:t>
      </w:r>
      <w:commentRangeEnd w:id="5"/>
      <w:r>
        <w:rPr>
          <w:highlight w:val="none"/>
        </w:rPr>
        <w:commentReference w:id="5"/>
      </w:r>
      <w:r>
        <w:rPr>
          <w:rFonts w:hint="eastAsia" w:ascii="仿宋_GB2312" w:hAnsi="微软雅黑" w:eastAsia="仿宋_GB2312" w:cs="宋体"/>
          <w:kern w:val="0"/>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（五）受理申报部门：宝安区人力资源局。</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（六）项目审批补充流程：</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区税务局核定企业纳税额是否达到优质企业标准，核算区级财政贡献；</w:t>
      </w:r>
    </w:p>
    <w:p>
      <w:pPr>
        <w:pStyle w:val="3"/>
        <w:adjustRightInd w:val="0"/>
        <w:spacing w:before="0" w:after="0"/>
        <w:ind w:firstLine="643" w:firstLineChars="200"/>
        <w:rPr>
          <w:rFonts w:ascii="仿宋_GB2312" w:hAnsi="黑体" w:eastAsia="仿宋_GB2312" w:cs="仿宋_GB2312"/>
          <w:bCs w:val="0"/>
          <w:color w:val="000000" w:themeColor="text1"/>
          <w:highlight w:val="none"/>
        </w:rPr>
      </w:pPr>
      <w:r>
        <w:rPr>
          <w:rFonts w:hint="eastAsia" w:ascii="仿宋_GB2312" w:hAnsi="微软雅黑" w:eastAsia="仿宋_GB2312" w:cs="宋体"/>
          <w:color w:val="000000"/>
          <w:kern w:val="0"/>
          <w:highlight w:val="none"/>
        </w:rPr>
        <w:t>　</w:t>
      </w:r>
      <w:bookmarkStart w:id="6" w:name="_Toc31895"/>
      <w:r>
        <w:rPr>
          <w:rFonts w:hint="eastAsia" w:ascii="仿宋_GB2312" w:hAnsi="黑体" w:eastAsia="仿宋_GB2312" w:cs="仿宋_GB2312"/>
          <w:bCs w:val="0"/>
          <w:color w:val="000000" w:themeColor="text1"/>
          <w:highlight w:val="none"/>
        </w:rPr>
        <w:t>二、经营发展奖励操作规程</w:t>
      </w:r>
      <w:bookmarkEnd w:id="6"/>
      <w:r>
        <w:rPr>
          <w:rFonts w:hint="eastAsia" w:ascii="仿宋_GB2312" w:hAnsi="黑体" w:eastAsia="仿宋_GB2312" w:cs="仿宋_GB2312"/>
          <w:bCs w:val="0"/>
          <w:color w:val="000000" w:themeColor="text1"/>
          <w:highlight w:val="none"/>
        </w:rPr>
        <w:t xml:space="preserve"> </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（一）政策依据</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《宝安区促进专业服务业发展的若干措施》支持措施第（二）项：“</w:t>
      </w:r>
      <w:r>
        <w:rPr>
          <w:rFonts w:hint="eastAsia" w:ascii="仿宋_GB2312" w:hAnsi="仿宋_GB2312" w:eastAsia="仿宋_GB2312" w:cs="仿宋_GB2312"/>
          <w:sz w:val="32"/>
          <w:szCs w:val="32"/>
          <w:highlight w:val="none"/>
        </w:rPr>
        <w:t>对首次纳入宝安区统计库的规模以上专业服务业企业，给予10万元的一次性奖励。对规模以上的企业给予经营增长奖励，奖励金额为上一年度形成区级财政贡献金额超过前一年度金额的增量部分的50%，最高不超过300万元。</w:t>
      </w:r>
      <w:r>
        <w:rPr>
          <w:rFonts w:hint="eastAsia" w:ascii="仿宋_GB2312" w:hAnsi="微软雅黑" w:eastAsia="仿宋_GB2312" w:cs="宋体"/>
          <w:color w:val="000000"/>
          <w:kern w:val="0"/>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（二）补贴条件</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申报主体应符合以下条件之一：</w:t>
      </w:r>
    </w:p>
    <w:p>
      <w:pPr>
        <w:widowControl/>
        <w:shd w:val="clear" w:color="auto" w:fill="FFFFFF"/>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1、上一自然年度新增纳入我区规模以上人力资源服务业企业（行业中类代码为：726），且人力资源服务业营业收入</w:t>
      </w:r>
      <w:commentRangeStart w:id="6"/>
      <w:r>
        <w:rPr>
          <w:rFonts w:hint="eastAsia" w:ascii="仿宋_GB2312" w:hAnsi="仿宋_GB2312" w:eastAsia="仿宋_GB2312" w:cs="仿宋_GB2312"/>
          <w:sz w:val="32"/>
          <w:szCs w:val="32"/>
          <w:highlight w:val="none"/>
          <w:u w:val="double" w:color="FF0000"/>
        </w:rPr>
        <w:t>（不含代收代支）</w:t>
      </w:r>
      <w:commentRangeEnd w:id="6"/>
      <w:r>
        <w:rPr>
          <w:highlight w:val="none"/>
          <w:u w:val="double" w:color="FF0000"/>
        </w:rPr>
        <w:commentReference w:id="6"/>
      </w:r>
      <w:r>
        <w:rPr>
          <w:rFonts w:hint="eastAsia" w:ascii="仿宋_GB2312" w:hAnsi="仿宋_GB2312" w:eastAsia="仿宋_GB2312" w:cs="仿宋_GB2312"/>
          <w:sz w:val="32"/>
          <w:szCs w:val="32"/>
          <w:highlight w:val="none"/>
          <w:u w:val="double" w:color="FF0000"/>
        </w:rPr>
        <w:t>1000万元以上</w:t>
      </w:r>
      <w:r>
        <w:rPr>
          <w:rFonts w:hint="eastAsia" w:ascii="仿宋_GB2312" w:hAnsi="仿宋_GB2312" w:eastAsia="仿宋_GB2312" w:cs="仿宋_GB2312"/>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仿宋_GB2312" w:eastAsia="仿宋_GB2312" w:cs="仿宋_GB2312"/>
          <w:sz w:val="32"/>
          <w:szCs w:val="32"/>
          <w:highlight w:val="none"/>
        </w:rPr>
        <w:t>2、已入库的规模以上人力资源</w:t>
      </w:r>
      <w:r>
        <w:rPr>
          <w:rFonts w:ascii="仿宋_GB2312" w:hAnsi="仿宋_GB2312" w:eastAsia="仿宋_GB2312" w:cs="仿宋_GB2312"/>
          <w:sz w:val="32"/>
          <w:szCs w:val="32"/>
          <w:highlight w:val="none"/>
        </w:rPr>
        <w:t>服务业</w:t>
      </w:r>
      <w:r>
        <w:rPr>
          <w:rFonts w:hint="eastAsia" w:ascii="仿宋_GB2312" w:hAnsi="仿宋_GB2312" w:eastAsia="仿宋_GB2312" w:cs="仿宋_GB2312"/>
          <w:sz w:val="32"/>
          <w:szCs w:val="32"/>
          <w:highlight w:val="none"/>
        </w:rPr>
        <w:t>企业在</w:t>
      </w:r>
      <w:r>
        <w:rPr>
          <w:rFonts w:ascii="仿宋_GB2312" w:hAnsi="仿宋_GB2312" w:eastAsia="仿宋_GB2312" w:cs="仿宋_GB2312"/>
          <w:sz w:val="32"/>
          <w:szCs w:val="32"/>
          <w:highlight w:val="none"/>
        </w:rPr>
        <w:t>宝安区</w:t>
      </w:r>
      <w:r>
        <w:rPr>
          <w:rFonts w:hint="eastAsia" w:ascii="仿宋_GB2312" w:hAnsi="仿宋_GB2312" w:eastAsia="仿宋_GB2312" w:cs="仿宋_GB2312"/>
          <w:sz w:val="32"/>
          <w:szCs w:val="32"/>
          <w:highlight w:val="none"/>
        </w:rPr>
        <w:t>纳税增长。</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（三）补贴标准</w:t>
      </w:r>
    </w:p>
    <w:p>
      <w:pPr>
        <w:widowControl/>
        <w:shd w:val="clear" w:color="auto" w:fill="FFFFFF"/>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微软雅黑" w:eastAsia="仿宋_GB2312" w:cs="宋体"/>
          <w:color w:val="000000"/>
          <w:kern w:val="0"/>
          <w:sz w:val="32"/>
          <w:szCs w:val="32"/>
          <w:highlight w:val="none"/>
        </w:rPr>
        <w:t>1、</w:t>
      </w:r>
      <w:r>
        <w:rPr>
          <w:rFonts w:hint="eastAsia" w:ascii="仿宋_GB2312" w:hAnsi="仿宋_GB2312" w:eastAsia="仿宋_GB2312" w:cs="仿宋_GB2312"/>
          <w:sz w:val="32"/>
          <w:szCs w:val="32"/>
          <w:highlight w:val="none"/>
        </w:rPr>
        <w:t>对新增纳入宝安区统计库的规模以上人力资源服务业企业，给予10万元的一次性奖励</w:t>
      </w:r>
      <w:r>
        <w:rPr>
          <w:rFonts w:ascii="仿宋_GB2312" w:hAnsi="仿宋_GB2312" w:eastAsia="仿宋_GB2312" w:cs="仿宋_GB2312"/>
          <w:sz w:val="32"/>
          <w:szCs w:val="32"/>
          <w:highlight w:val="none"/>
        </w:rPr>
        <w:t>（如此项奖励与区其他政策有重复，企业只能择其一进行申请，不得重复申请）</w:t>
      </w:r>
      <w:r>
        <w:rPr>
          <w:rFonts w:hint="eastAsia" w:ascii="仿宋_GB2312" w:hAnsi="仿宋_GB2312" w:eastAsia="仿宋_GB2312" w:cs="仿宋_GB2312"/>
          <w:sz w:val="32"/>
          <w:szCs w:val="32"/>
          <w:highlight w:val="none"/>
        </w:rPr>
        <w:t>；</w:t>
      </w:r>
    </w:p>
    <w:p>
      <w:pPr>
        <w:widowControl/>
        <w:shd w:val="clear" w:color="auto" w:fill="FFFFFF"/>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2、对已入库的规模以上人力资源</w:t>
      </w:r>
      <w:r>
        <w:rPr>
          <w:rFonts w:ascii="仿宋_GB2312" w:hAnsi="仿宋_GB2312" w:eastAsia="仿宋_GB2312" w:cs="仿宋_GB2312"/>
          <w:sz w:val="32"/>
          <w:szCs w:val="32"/>
          <w:highlight w:val="none"/>
        </w:rPr>
        <w:t>服务业</w:t>
      </w:r>
      <w:r>
        <w:rPr>
          <w:rFonts w:hint="eastAsia" w:ascii="仿宋_GB2312" w:hAnsi="仿宋_GB2312" w:eastAsia="仿宋_GB2312" w:cs="仿宋_GB2312"/>
          <w:sz w:val="32"/>
          <w:szCs w:val="32"/>
          <w:highlight w:val="none"/>
        </w:rPr>
        <w:t>企业在</w:t>
      </w:r>
      <w:r>
        <w:rPr>
          <w:rFonts w:ascii="仿宋_GB2312" w:hAnsi="仿宋_GB2312" w:eastAsia="仿宋_GB2312" w:cs="仿宋_GB2312"/>
          <w:sz w:val="32"/>
          <w:szCs w:val="32"/>
          <w:highlight w:val="none"/>
        </w:rPr>
        <w:t>宝安区</w:t>
      </w:r>
      <w:r>
        <w:rPr>
          <w:rFonts w:hint="eastAsia" w:ascii="仿宋_GB2312" w:hAnsi="仿宋_GB2312" w:eastAsia="仿宋_GB2312" w:cs="仿宋_GB2312"/>
          <w:sz w:val="32"/>
          <w:szCs w:val="32"/>
          <w:highlight w:val="none"/>
        </w:rPr>
        <w:t>纳税增长，给予一次性增长奖励，金额为上一年度形成区级财政贡献金额超过前一年度金额的增量部分的50%，最高不超过300万元。</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（四）专项申请材料</w:t>
      </w:r>
    </w:p>
    <w:p>
      <w:pPr>
        <w:widowControl/>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微软雅黑" w:eastAsia="仿宋_GB2312" w:cs="宋体"/>
          <w:kern w:val="0"/>
          <w:sz w:val="32"/>
          <w:szCs w:val="32"/>
          <w:highlight w:val="none"/>
        </w:rPr>
        <w:t>1、申报主体为</w:t>
      </w:r>
      <w:r>
        <w:rPr>
          <w:rFonts w:hint="eastAsia" w:ascii="仿宋_GB2312" w:hAnsi="仿宋_GB2312" w:eastAsia="仿宋_GB2312" w:cs="仿宋_GB2312"/>
          <w:sz w:val="32"/>
          <w:szCs w:val="32"/>
          <w:highlight w:val="none"/>
        </w:rPr>
        <w:t>新增纳入我区规模以上人力资源服务业企业（行业中类代码为：726）的须提交以下材料：</w:t>
      </w:r>
    </w:p>
    <w:p>
      <w:pPr>
        <w:widowControl/>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微软雅黑" w:eastAsia="仿宋_GB2312" w:cs="宋体"/>
          <w:kern w:val="0"/>
          <w:sz w:val="32"/>
          <w:szCs w:val="32"/>
          <w:highlight w:val="none"/>
        </w:rPr>
        <w:t>上年度审计</w:t>
      </w:r>
      <w:r>
        <w:rPr>
          <w:rFonts w:ascii="仿宋_GB2312" w:hAnsi="微软雅黑" w:eastAsia="仿宋_GB2312" w:cs="宋体"/>
          <w:kern w:val="0"/>
          <w:sz w:val="32"/>
          <w:szCs w:val="32"/>
          <w:highlight w:val="none"/>
        </w:rPr>
        <w:t>报告</w:t>
      </w:r>
      <w:r>
        <w:rPr>
          <w:rFonts w:hint="eastAsia" w:ascii="仿宋_GB2312" w:hAnsi="微软雅黑" w:eastAsia="仿宋_GB2312" w:cs="宋体"/>
          <w:kern w:val="0"/>
          <w:sz w:val="32"/>
          <w:szCs w:val="32"/>
          <w:highlight w:val="none"/>
        </w:rPr>
        <w:t>；</w:t>
      </w:r>
    </w:p>
    <w:p>
      <w:pPr>
        <w:widowControl/>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（2）上年度在宝安区经营的营业收入统计数据（通过国家统计联网直报平台打印，需为带水印的pdf文件）；</w:t>
      </w:r>
    </w:p>
    <w:p>
      <w:pPr>
        <w:widowControl/>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微软雅黑" w:eastAsia="仿宋_GB2312" w:cs="宋体"/>
          <w:kern w:val="0"/>
          <w:sz w:val="32"/>
          <w:szCs w:val="32"/>
          <w:highlight w:val="none"/>
        </w:rPr>
        <w:t>2、申报主体为</w:t>
      </w:r>
      <w:r>
        <w:rPr>
          <w:rFonts w:hint="eastAsia" w:ascii="仿宋_GB2312" w:hAnsi="仿宋_GB2312" w:eastAsia="仿宋_GB2312" w:cs="仿宋_GB2312"/>
          <w:sz w:val="32"/>
          <w:szCs w:val="32"/>
          <w:highlight w:val="none"/>
        </w:rPr>
        <w:t>已入库的规模以上人力资源</w:t>
      </w:r>
      <w:r>
        <w:rPr>
          <w:rFonts w:ascii="仿宋_GB2312" w:hAnsi="仿宋_GB2312" w:eastAsia="仿宋_GB2312" w:cs="仿宋_GB2312"/>
          <w:sz w:val="32"/>
          <w:szCs w:val="32"/>
          <w:highlight w:val="none"/>
        </w:rPr>
        <w:t>服务业</w:t>
      </w:r>
      <w:r>
        <w:rPr>
          <w:rFonts w:hint="eastAsia" w:ascii="仿宋_GB2312" w:hAnsi="仿宋_GB2312" w:eastAsia="仿宋_GB2312" w:cs="仿宋_GB2312"/>
          <w:sz w:val="32"/>
          <w:szCs w:val="32"/>
          <w:highlight w:val="none"/>
        </w:rPr>
        <w:t>企业的须提交以下材料：</w:t>
      </w:r>
    </w:p>
    <w:p>
      <w:pPr>
        <w:widowControl/>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微软雅黑" w:eastAsia="仿宋_GB2312" w:cs="宋体"/>
          <w:kern w:val="0"/>
          <w:sz w:val="32"/>
          <w:szCs w:val="32"/>
          <w:highlight w:val="none"/>
        </w:rPr>
        <w:t>上两年度审计</w:t>
      </w:r>
      <w:r>
        <w:rPr>
          <w:rFonts w:ascii="仿宋_GB2312" w:hAnsi="微软雅黑" w:eastAsia="仿宋_GB2312" w:cs="宋体"/>
          <w:kern w:val="0"/>
          <w:sz w:val="32"/>
          <w:szCs w:val="32"/>
          <w:highlight w:val="none"/>
        </w:rPr>
        <w:t>报告</w:t>
      </w:r>
      <w:r>
        <w:rPr>
          <w:rFonts w:hint="eastAsia" w:ascii="仿宋_GB2312" w:hAnsi="微软雅黑" w:eastAsia="仿宋_GB2312" w:cs="宋体"/>
          <w:kern w:val="0"/>
          <w:sz w:val="32"/>
          <w:szCs w:val="32"/>
          <w:highlight w:val="none"/>
        </w:rPr>
        <w:t>（企业人力资源服务业营业额连续两年超过1000万元</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highlight w:val="none"/>
          <w:u w:val="double" w:color="FF0000"/>
          <w:lang w:eastAsia="zh-CN"/>
        </w:rPr>
        <w:t>不含代收代支</w:t>
      </w:r>
      <w:r>
        <w:rPr>
          <w:rFonts w:hint="eastAsia" w:ascii="仿宋_GB2312" w:hAnsi="微软雅黑" w:eastAsia="仿宋_GB2312" w:cs="宋体"/>
          <w:kern w:val="0"/>
          <w:sz w:val="32"/>
          <w:szCs w:val="32"/>
          <w:highlight w:val="none"/>
        </w:rPr>
        <w:t>）；</w:t>
      </w:r>
    </w:p>
    <w:p>
      <w:pPr>
        <w:widowControl/>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（2）上两年在宝安区经营的营业收入统计数据（通过国家统计联网直报平台打印，需为带水印的pdf文件）。</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（五）受理申报部门：宝安区人力资源局。</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（六）项目审批补充流程：</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1、区税务局核算区级财政贡献及增量，核算纳税增长情况；</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2、区统计局核定企业是否为上年度新入库规模以上人力资源</w:t>
      </w:r>
    </w:p>
    <w:p>
      <w:pPr>
        <w:widowControl/>
        <w:shd w:val="clear" w:color="auto" w:fill="FFFFFF"/>
        <w:adjustRightInd w:val="0"/>
        <w:spacing w:line="450" w:lineRule="atLeast"/>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服务企业或企业是否上两年度持续为规模以上企业。</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（七）企业首次新增日期从受理公告发布之日的上一个自然年度起算（即上一年度的1月1日至12月31日）。其中：</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1、上述所指的上一个自然年度前是否曾纳入或退出过“四上企业”库的情形不再追溯，仅考虑是否在上一个自然年度1月1日后</w:t>
      </w:r>
      <w:commentRangeStart w:id="7"/>
      <w:r>
        <w:rPr>
          <w:rFonts w:hint="eastAsia" w:ascii="仿宋_GB2312" w:hAnsi="微软雅黑" w:eastAsia="仿宋_GB2312" w:cs="宋体"/>
          <w:kern w:val="0"/>
          <w:sz w:val="32"/>
          <w:szCs w:val="32"/>
          <w:highlight w:val="none"/>
        </w:rPr>
        <w:t>首次</w:t>
      </w:r>
      <w:commentRangeEnd w:id="7"/>
      <w:r>
        <w:rPr>
          <w:highlight w:val="none"/>
        </w:rPr>
        <w:commentReference w:id="7"/>
      </w:r>
      <w:r>
        <w:rPr>
          <w:rFonts w:hint="eastAsia" w:ascii="仿宋_GB2312" w:hAnsi="微软雅黑" w:eastAsia="仿宋_GB2312" w:cs="宋体"/>
          <w:kern w:val="0"/>
          <w:sz w:val="32"/>
          <w:szCs w:val="32"/>
          <w:highlight w:val="none"/>
        </w:rPr>
        <w:t>新增纳入本区“四上企业”数据库；</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2、上一自然年度1月1日后退出“四上企业”库又再次入库的情形不纳入奖励范围；</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3、上一自然年度1月1日后转换“四上企业”库中专业类别的情形不纳入奖励范围；</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4、政策面向申报年上一自然年度新增纳入本区统计数据库的“四上企业”，逾期未申报将不再受理；</w:t>
      </w:r>
      <w:commentRangeStart w:id="8"/>
      <w:r>
        <w:rPr>
          <w:rFonts w:hint="eastAsia" w:ascii="仿宋_GB2312" w:hAnsi="微软雅黑" w:eastAsia="仿宋_GB2312" w:cs="宋体"/>
          <w:kern w:val="0"/>
          <w:sz w:val="32"/>
          <w:szCs w:val="32"/>
          <w:highlight w:val="none"/>
        </w:rPr>
        <w:t>自其他区迁入宝安区的规上企业不纳入奖励范围。</w:t>
      </w:r>
      <w:commentRangeEnd w:id="8"/>
      <w:r>
        <w:rPr>
          <w:highlight w:val="none"/>
        </w:rPr>
        <w:commentReference w:id="8"/>
      </w:r>
    </w:p>
    <w:p>
      <w:pPr>
        <w:pStyle w:val="3"/>
        <w:adjustRightInd w:val="0"/>
        <w:spacing w:before="0" w:after="0"/>
        <w:ind w:firstLine="643" w:firstLineChars="200"/>
        <w:rPr>
          <w:rFonts w:ascii="仿宋_GB2312" w:hAnsi="黑体" w:eastAsia="仿宋_GB2312" w:cs="仿宋_GB2312"/>
          <w:bCs w:val="0"/>
          <w:color w:val="000000" w:themeColor="text1"/>
          <w:highlight w:val="none"/>
        </w:rPr>
      </w:pPr>
      <w:r>
        <w:rPr>
          <w:rFonts w:hint="eastAsia" w:ascii="仿宋_GB2312" w:hAnsi="微软雅黑" w:eastAsia="仿宋_GB2312" w:cs="宋体"/>
          <w:bCs w:val="0"/>
          <w:color w:val="000000"/>
          <w:kern w:val="0"/>
          <w:highlight w:val="none"/>
        </w:rPr>
        <w:t>　</w:t>
      </w:r>
      <w:bookmarkStart w:id="7" w:name="_Toc17014"/>
      <w:r>
        <w:rPr>
          <w:rFonts w:hint="eastAsia" w:ascii="仿宋_GB2312" w:hAnsi="黑体" w:eastAsia="仿宋_GB2312" w:cs="仿宋_GB2312"/>
          <w:bCs w:val="0"/>
          <w:color w:val="000000" w:themeColor="text1"/>
          <w:highlight w:val="none"/>
        </w:rPr>
        <w:t>三、专业活动奖励操作规程</w:t>
      </w:r>
      <w:bookmarkEnd w:id="7"/>
      <w:r>
        <w:rPr>
          <w:rFonts w:hint="eastAsia" w:ascii="仿宋_GB2312" w:hAnsi="黑体" w:eastAsia="仿宋_GB2312" w:cs="仿宋_GB2312"/>
          <w:bCs w:val="0"/>
          <w:color w:val="000000" w:themeColor="text1"/>
          <w:highlight w:val="none"/>
        </w:rPr>
        <w:t xml:space="preserve"> </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（一）政策依据</w:t>
      </w:r>
    </w:p>
    <w:p>
      <w:pPr>
        <w:adjustRightInd w:val="0"/>
        <w:spacing w:line="560" w:lineRule="exact"/>
        <w:ind w:firstLine="640" w:firstLineChars="200"/>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《宝安区促进专业服务业发展的若干措施》支持措施第（三）项：“</w:t>
      </w:r>
      <w:r>
        <w:rPr>
          <w:rFonts w:hint="eastAsia" w:ascii="仿宋_GB2312" w:hAnsi="仿宋_GB2312" w:eastAsia="仿宋_GB2312" w:cs="仿宋_GB2312"/>
          <w:sz w:val="32"/>
          <w:szCs w:val="32"/>
          <w:highlight w:val="none"/>
        </w:rPr>
        <w:t>对经区产业发展工作领导小组同意支持的专业服务业峰会、论坛、学术会议，按实际投入费用的50%给予承办单位补贴，最高不超过100万元；其中，对由区政府作为指导单位举办的，按实际投入费用的100%给予主办单位补贴，最高不超过200万元。</w:t>
      </w:r>
      <w:r>
        <w:rPr>
          <w:rFonts w:hint="eastAsia" w:ascii="仿宋_GB2312" w:hAnsi="微软雅黑" w:eastAsia="仿宋_GB2312" w:cs="宋体"/>
          <w:color w:val="000000"/>
          <w:kern w:val="0"/>
          <w:sz w:val="32"/>
          <w:szCs w:val="32"/>
          <w:highlight w:val="none"/>
        </w:rPr>
        <w:t>”</w:t>
      </w:r>
    </w:p>
    <w:p>
      <w:pPr>
        <w:adjustRightInd w:val="0"/>
        <w:spacing w:line="560" w:lineRule="exact"/>
        <w:ind w:firstLine="640" w:firstLineChars="200"/>
        <w:rPr>
          <w:rFonts w:ascii="仿宋_GB2312" w:hAnsi="微软雅黑" w:eastAsia="仿宋_GB2312" w:cs="宋体"/>
          <w:color w:val="000000"/>
          <w:kern w:val="0"/>
          <w:sz w:val="32"/>
          <w:szCs w:val="32"/>
          <w:highlight w:val="none"/>
        </w:rPr>
      </w:pPr>
    </w:p>
    <w:p>
      <w:pPr>
        <w:widowControl/>
        <w:numPr>
          <w:ilvl w:val="0"/>
          <w:numId w:val="1"/>
        </w:numPr>
        <w:shd w:val="clear" w:color="auto" w:fill="FFFFFF"/>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微软雅黑" w:eastAsia="仿宋_GB2312" w:cs="宋体"/>
          <w:color w:val="000000"/>
          <w:kern w:val="0"/>
          <w:sz w:val="32"/>
          <w:szCs w:val="32"/>
          <w:highlight w:val="none"/>
        </w:rPr>
        <w:t>补贴条件</w:t>
      </w:r>
    </w:p>
    <w:p>
      <w:pPr>
        <w:widowControl/>
        <w:shd w:val="clear" w:color="auto" w:fill="FFFFFF"/>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微软雅黑" w:eastAsia="仿宋_GB2312" w:cs="宋体"/>
          <w:color w:val="000000"/>
          <w:kern w:val="0"/>
          <w:sz w:val="32"/>
          <w:szCs w:val="32"/>
          <w:highlight w:val="none"/>
        </w:rPr>
        <w:t>1、</w:t>
      </w:r>
      <w:r>
        <w:rPr>
          <w:rFonts w:ascii="仿宋_GB2312" w:hAnsi="仿宋_GB2312" w:eastAsia="仿宋_GB2312" w:cs="仿宋_GB2312"/>
          <w:sz w:val="32"/>
          <w:szCs w:val="32"/>
          <w:highlight w:val="none"/>
        </w:rPr>
        <w:t>举办的</w:t>
      </w:r>
      <w:r>
        <w:rPr>
          <w:rFonts w:hint="eastAsia" w:ascii="仿宋_GB2312" w:hAnsi="仿宋_GB2312" w:eastAsia="仿宋_GB2312" w:cs="仿宋_GB2312"/>
          <w:sz w:val="32"/>
          <w:szCs w:val="32"/>
          <w:highlight w:val="none"/>
        </w:rPr>
        <w:t>专业</w:t>
      </w:r>
      <w:r>
        <w:rPr>
          <w:rFonts w:ascii="仿宋_GB2312" w:hAnsi="微软雅黑" w:eastAsia="仿宋_GB2312" w:cs="宋体"/>
          <w:color w:val="000000"/>
          <w:kern w:val="0"/>
          <w:sz w:val="32"/>
          <w:szCs w:val="32"/>
          <w:highlight w:val="none"/>
        </w:rPr>
        <w:t>服务业峰会、论坛、学术会议等</w:t>
      </w:r>
      <w:r>
        <w:rPr>
          <w:rFonts w:hint="eastAsia" w:ascii="仿宋_GB2312" w:hAnsi="微软雅黑" w:eastAsia="仿宋_GB2312" w:cs="宋体"/>
          <w:color w:val="000000"/>
          <w:kern w:val="0"/>
          <w:sz w:val="32"/>
          <w:szCs w:val="32"/>
          <w:highlight w:val="none"/>
        </w:rPr>
        <w:t>需</w:t>
      </w:r>
      <w:r>
        <w:rPr>
          <w:rFonts w:ascii="仿宋_GB2312" w:hAnsi="微软雅黑" w:eastAsia="仿宋_GB2312" w:cs="宋体"/>
          <w:color w:val="000000"/>
          <w:kern w:val="0"/>
          <w:sz w:val="32"/>
          <w:szCs w:val="32"/>
          <w:highlight w:val="none"/>
        </w:rPr>
        <w:t>经区产业</w:t>
      </w:r>
      <w:r>
        <w:rPr>
          <w:rFonts w:hint="eastAsia" w:ascii="仿宋_GB2312" w:hAnsi="仿宋_GB2312" w:eastAsia="仿宋_GB2312" w:cs="仿宋_GB2312"/>
          <w:sz w:val="32"/>
          <w:szCs w:val="32"/>
          <w:highlight w:val="none"/>
        </w:rPr>
        <w:t>发展工作领导小组同意支持；</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仿宋_GB2312" w:eastAsia="仿宋_GB2312" w:cs="仿宋_GB2312"/>
          <w:sz w:val="32"/>
          <w:szCs w:val="32"/>
          <w:highlight w:val="none"/>
        </w:rPr>
        <w:t>2、专业</w:t>
      </w:r>
      <w:r>
        <w:rPr>
          <w:rFonts w:ascii="仿宋_GB2312" w:hAnsi="微软雅黑" w:eastAsia="仿宋_GB2312" w:cs="宋体"/>
          <w:color w:val="000000"/>
          <w:kern w:val="0"/>
          <w:sz w:val="32"/>
          <w:szCs w:val="32"/>
          <w:highlight w:val="none"/>
        </w:rPr>
        <w:t>服务业峰会、论坛、学术会议</w:t>
      </w:r>
      <w:r>
        <w:rPr>
          <w:rFonts w:hint="eastAsia" w:ascii="仿宋_GB2312" w:hAnsi="微软雅黑" w:eastAsia="仿宋_GB2312" w:cs="宋体"/>
          <w:color w:val="000000"/>
          <w:kern w:val="0"/>
          <w:sz w:val="32"/>
          <w:szCs w:val="32"/>
          <w:highlight w:val="none"/>
        </w:rPr>
        <w:t>需</w:t>
      </w:r>
      <w:r>
        <w:rPr>
          <w:rFonts w:ascii="仿宋_GB2312" w:hAnsi="微软雅黑" w:eastAsia="仿宋_GB2312" w:cs="宋体"/>
          <w:color w:val="000000"/>
          <w:kern w:val="0"/>
          <w:sz w:val="32"/>
          <w:szCs w:val="32"/>
          <w:highlight w:val="none"/>
        </w:rPr>
        <w:t>在宝安区举办。</w:t>
      </w:r>
    </w:p>
    <w:p>
      <w:pPr>
        <w:widowControl/>
        <w:shd w:val="clear" w:color="auto" w:fill="FFFFFF"/>
        <w:adjustRightInd w:val="0"/>
        <w:spacing w:line="450" w:lineRule="atLeast"/>
        <w:ind w:firstLine="480" w:firstLineChars="15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（三）补贴标准</w:t>
      </w:r>
    </w:p>
    <w:p>
      <w:pPr>
        <w:widowControl/>
        <w:shd w:val="clear" w:color="auto" w:fill="FFFFFF"/>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1、按实际投入费用的50%给予承办单位补贴，最高不超过100万元；</w:t>
      </w:r>
    </w:p>
    <w:p>
      <w:pPr>
        <w:widowControl/>
        <w:shd w:val="clear" w:color="auto" w:fill="FFFFFF"/>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2、对由区政府作为指导单位举办的，按实际投入费用的100%给予主办单位补贴，最高不超过200万元。</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仿宋_GB2312" w:eastAsia="仿宋_GB2312" w:cs="仿宋_GB2312"/>
          <w:sz w:val="32"/>
          <w:szCs w:val="32"/>
          <w:highlight w:val="none"/>
        </w:rPr>
        <w:t>（四）专项申请</w:t>
      </w:r>
      <w:r>
        <w:rPr>
          <w:rFonts w:ascii="仿宋_GB2312" w:hAnsi="仿宋_GB2312" w:eastAsia="仿宋_GB2312" w:cs="仿宋_GB2312"/>
          <w:sz w:val="32"/>
          <w:szCs w:val="32"/>
          <w:highlight w:val="none"/>
        </w:rPr>
        <w:t>材料</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1、申请报告（包括</w:t>
      </w:r>
      <w:r>
        <w:rPr>
          <w:rFonts w:ascii="仿宋_GB2312" w:hAnsi="微软雅黑" w:eastAsia="仿宋_GB2312" w:cs="宋体"/>
          <w:color w:val="000000"/>
          <w:kern w:val="0"/>
          <w:sz w:val="32"/>
          <w:szCs w:val="32"/>
          <w:highlight w:val="none"/>
        </w:rPr>
        <w:t>但不限于申请事由、承办单位基本情况、</w:t>
      </w:r>
      <w:r>
        <w:rPr>
          <w:rFonts w:hint="eastAsia" w:ascii="仿宋_GB2312" w:hAnsi="微软雅黑" w:eastAsia="仿宋_GB2312" w:cs="宋体"/>
          <w:color w:val="000000"/>
          <w:kern w:val="0"/>
          <w:sz w:val="32"/>
          <w:szCs w:val="32"/>
          <w:highlight w:val="none"/>
        </w:rPr>
        <w:t>相关</w:t>
      </w:r>
      <w:r>
        <w:rPr>
          <w:rFonts w:ascii="仿宋_GB2312" w:hAnsi="微软雅黑" w:eastAsia="仿宋_GB2312" w:cs="宋体"/>
          <w:color w:val="000000"/>
          <w:kern w:val="0"/>
          <w:sz w:val="32"/>
          <w:szCs w:val="32"/>
          <w:highlight w:val="none"/>
        </w:rPr>
        <w:t>峰会、论坛、学术会议举办的基本情况等</w:t>
      </w:r>
      <w:r>
        <w:rPr>
          <w:rFonts w:hint="eastAsia" w:ascii="仿宋_GB2312" w:hAnsi="微软雅黑" w:eastAsia="仿宋_GB2312" w:cs="宋体"/>
          <w:color w:val="000000"/>
          <w:kern w:val="0"/>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2、区产业发展</w:t>
      </w:r>
      <w:r>
        <w:rPr>
          <w:rFonts w:ascii="仿宋_GB2312" w:hAnsi="微软雅黑" w:eastAsia="仿宋_GB2312" w:cs="宋体"/>
          <w:color w:val="000000"/>
          <w:kern w:val="0"/>
          <w:sz w:val="32"/>
          <w:szCs w:val="32"/>
          <w:highlight w:val="none"/>
        </w:rPr>
        <w:t>工作领导小组</w:t>
      </w:r>
      <w:r>
        <w:rPr>
          <w:rFonts w:hint="eastAsia" w:ascii="仿宋_GB2312" w:hAnsi="微软雅黑" w:eastAsia="仿宋_GB2312" w:cs="宋体"/>
          <w:color w:val="000000"/>
          <w:kern w:val="0"/>
          <w:sz w:val="32"/>
          <w:szCs w:val="32"/>
          <w:highlight w:val="none"/>
        </w:rPr>
        <w:t>同意</w:t>
      </w:r>
      <w:r>
        <w:rPr>
          <w:rFonts w:ascii="仿宋_GB2312" w:hAnsi="微软雅黑" w:eastAsia="仿宋_GB2312" w:cs="宋体"/>
          <w:color w:val="000000"/>
          <w:kern w:val="0"/>
          <w:sz w:val="32"/>
          <w:szCs w:val="32"/>
          <w:highlight w:val="none"/>
        </w:rPr>
        <w:t>支持专业活动的会议纪要等材料</w:t>
      </w:r>
      <w:r>
        <w:rPr>
          <w:rFonts w:hint="eastAsia" w:ascii="仿宋_GB2312" w:hAnsi="微软雅黑" w:eastAsia="仿宋_GB2312" w:cs="宋体"/>
          <w:color w:val="000000"/>
          <w:kern w:val="0"/>
          <w:sz w:val="32"/>
          <w:szCs w:val="32"/>
          <w:highlight w:val="none"/>
        </w:rPr>
        <w:t>复印件；</w:t>
      </w:r>
      <w:r>
        <w:rPr>
          <w:rFonts w:ascii="仿宋_GB2312" w:hAnsi="微软雅黑" w:eastAsia="仿宋_GB2312" w:cs="宋体"/>
          <w:color w:val="000000"/>
          <w:kern w:val="0"/>
          <w:sz w:val="32"/>
          <w:szCs w:val="32"/>
          <w:highlight w:val="none"/>
        </w:rPr>
        <w:t>对由区政府作为指导单位举办的，需</w:t>
      </w:r>
      <w:r>
        <w:rPr>
          <w:rFonts w:hint="eastAsia" w:ascii="仿宋_GB2312" w:hAnsi="微软雅黑" w:eastAsia="仿宋_GB2312" w:cs="宋体"/>
          <w:color w:val="000000"/>
          <w:kern w:val="0"/>
          <w:sz w:val="32"/>
          <w:szCs w:val="32"/>
          <w:highlight w:val="none"/>
        </w:rPr>
        <w:t>提供</w:t>
      </w:r>
      <w:r>
        <w:rPr>
          <w:rFonts w:ascii="仿宋_GB2312" w:hAnsi="微软雅黑" w:eastAsia="仿宋_GB2312" w:cs="宋体"/>
          <w:color w:val="000000"/>
          <w:kern w:val="0"/>
          <w:sz w:val="32"/>
          <w:szCs w:val="32"/>
          <w:highlight w:val="none"/>
        </w:rPr>
        <w:t>相关证明材料复印件</w:t>
      </w:r>
      <w:r>
        <w:rPr>
          <w:rFonts w:hint="eastAsia" w:ascii="仿宋_GB2312" w:hAnsi="微软雅黑" w:eastAsia="仿宋_GB2312" w:cs="宋体"/>
          <w:color w:val="000000"/>
          <w:kern w:val="0"/>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ascii="仿宋_GB2312" w:hAnsi="微软雅黑" w:eastAsia="仿宋_GB2312" w:cs="宋体"/>
          <w:color w:val="000000"/>
          <w:kern w:val="0"/>
          <w:sz w:val="32"/>
          <w:szCs w:val="32"/>
          <w:highlight w:val="none"/>
        </w:rPr>
        <w:t>3</w:t>
      </w:r>
      <w:r>
        <w:rPr>
          <w:rFonts w:hint="eastAsia" w:ascii="仿宋_GB2312" w:hAnsi="微软雅黑" w:eastAsia="仿宋_GB2312" w:cs="宋体"/>
          <w:color w:val="000000"/>
          <w:kern w:val="0"/>
          <w:sz w:val="32"/>
          <w:szCs w:val="32"/>
          <w:highlight w:val="none"/>
        </w:rPr>
        <w:t>、专业</w:t>
      </w:r>
      <w:r>
        <w:rPr>
          <w:rFonts w:ascii="仿宋_GB2312" w:hAnsi="微软雅黑" w:eastAsia="仿宋_GB2312" w:cs="宋体"/>
          <w:color w:val="000000"/>
          <w:kern w:val="0"/>
          <w:sz w:val="32"/>
          <w:szCs w:val="32"/>
          <w:highlight w:val="none"/>
        </w:rPr>
        <w:t>活动策划实施方案；</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ascii="仿宋_GB2312" w:hAnsi="微软雅黑" w:eastAsia="仿宋_GB2312" w:cs="宋体"/>
          <w:color w:val="000000"/>
          <w:kern w:val="0"/>
          <w:sz w:val="32"/>
          <w:szCs w:val="32"/>
          <w:highlight w:val="none"/>
        </w:rPr>
        <w:t>4</w:t>
      </w:r>
      <w:r>
        <w:rPr>
          <w:rFonts w:hint="eastAsia" w:ascii="仿宋_GB2312" w:hAnsi="微软雅黑" w:eastAsia="仿宋_GB2312" w:cs="宋体"/>
          <w:color w:val="000000"/>
          <w:kern w:val="0"/>
          <w:sz w:val="32"/>
          <w:szCs w:val="32"/>
          <w:highlight w:val="none"/>
        </w:rPr>
        <w:t>、会计师</w:t>
      </w:r>
      <w:r>
        <w:rPr>
          <w:rFonts w:ascii="仿宋_GB2312" w:hAnsi="微软雅黑" w:eastAsia="仿宋_GB2312" w:cs="宋体"/>
          <w:color w:val="000000"/>
          <w:kern w:val="0"/>
          <w:sz w:val="32"/>
          <w:szCs w:val="32"/>
          <w:highlight w:val="none"/>
        </w:rPr>
        <w:t>事务所对项目实际投入费用的专项审计报告；</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5、专业</w:t>
      </w:r>
      <w:r>
        <w:rPr>
          <w:rFonts w:ascii="仿宋_GB2312" w:hAnsi="微软雅黑" w:eastAsia="仿宋_GB2312" w:cs="宋体"/>
          <w:color w:val="000000"/>
          <w:kern w:val="0"/>
          <w:sz w:val="32"/>
          <w:szCs w:val="32"/>
          <w:highlight w:val="none"/>
        </w:rPr>
        <w:t>活动</w:t>
      </w:r>
      <w:r>
        <w:rPr>
          <w:rFonts w:hint="eastAsia" w:ascii="仿宋_GB2312" w:hAnsi="微软雅黑" w:eastAsia="仿宋_GB2312" w:cs="宋体"/>
          <w:color w:val="000000"/>
          <w:kern w:val="0"/>
          <w:sz w:val="32"/>
          <w:szCs w:val="32"/>
          <w:highlight w:val="none"/>
        </w:rPr>
        <w:t>实际发生</w:t>
      </w:r>
      <w:r>
        <w:rPr>
          <w:rFonts w:ascii="仿宋_GB2312" w:hAnsi="微软雅黑" w:eastAsia="仿宋_GB2312" w:cs="宋体"/>
          <w:color w:val="000000"/>
          <w:kern w:val="0"/>
          <w:sz w:val="32"/>
          <w:szCs w:val="32"/>
          <w:highlight w:val="none"/>
        </w:rPr>
        <w:t>费用</w:t>
      </w:r>
      <w:r>
        <w:rPr>
          <w:rFonts w:hint="eastAsia" w:ascii="仿宋_GB2312" w:hAnsi="微软雅黑" w:eastAsia="仿宋_GB2312" w:cs="宋体"/>
          <w:color w:val="000000"/>
          <w:kern w:val="0"/>
          <w:sz w:val="32"/>
          <w:szCs w:val="32"/>
          <w:highlight w:val="none"/>
        </w:rPr>
        <w:t>的有关</w:t>
      </w:r>
      <w:r>
        <w:rPr>
          <w:rFonts w:ascii="仿宋_GB2312" w:hAnsi="微软雅黑" w:eastAsia="仿宋_GB2312" w:cs="宋体"/>
          <w:color w:val="000000"/>
          <w:kern w:val="0"/>
          <w:sz w:val="32"/>
          <w:szCs w:val="32"/>
          <w:highlight w:val="none"/>
        </w:rPr>
        <w:t>票据</w:t>
      </w:r>
      <w:r>
        <w:rPr>
          <w:rFonts w:hint="eastAsia" w:ascii="仿宋_GB2312" w:hAnsi="微软雅黑" w:eastAsia="仿宋_GB2312" w:cs="宋体"/>
          <w:color w:val="000000"/>
          <w:kern w:val="0"/>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color w:val="000000"/>
          <w:kern w:val="0"/>
          <w:sz w:val="32"/>
          <w:szCs w:val="32"/>
          <w:highlight w:val="none"/>
        </w:rPr>
        <w:t>（五）受理申报</w:t>
      </w:r>
      <w:r>
        <w:rPr>
          <w:rFonts w:hint="eastAsia" w:ascii="仿宋_GB2312" w:hAnsi="微软雅黑" w:eastAsia="仿宋_GB2312" w:cs="宋体"/>
          <w:kern w:val="0"/>
          <w:sz w:val="32"/>
          <w:szCs w:val="32"/>
          <w:highlight w:val="none"/>
        </w:rPr>
        <w:t>部门：宝安区人力资源局。</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（六）项目审批补充流程：无补充流程。</w:t>
      </w:r>
    </w:p>
    <w:p>
      <w:pPr>
        <w:pStyle w:val="3"/>
        <w:adjustRightInd w:val="0"/>
        <w:spacing w:before="0" w:after="0"/>
        <w:ind w:firstLine="643" w:firstLineChars="200"/>
        <w:rPr>
          <w:rFonts w:ascii="仿宋_GB2312" w:hAnsi="黑体" w:eastAsia="仿宋_GB2312" w:cs="仿宋_GB2312"/>
          <w:bCs w:val="0"/>
          <w:color w:val="000000" w:themeColor="text1"/>
          <w:highlight w:val="none"/>
        </w:rPr>
      </w:pPr>
      <w:bookmarkStart w:id="8" w:name="_Toc19160"/>
      <w:r>
        <w:rPr>
          <w:rFonts w:hint="eastAsia" w:ascii="仿宋_GB2312" w:hAnsi="黑体" w:eastAsia="仿宋_GB2312" w:cs="仿宋_GB2312"/>
          <w:bCs w:val="0"/>
          <w:color w:val="000000" w:themeColor="text1"/>
          <w:highlight w:val="none"/>
        </w:rPr>
        <w:t>四、办公用房租金补贴操作规程</w:t>
      </w:r>
      <w:bookmarkEnd w:id="8"/>
      <w:r>
        <w:rPr>
          <w:rFonts w:hint="eastAsia" w:ascii="仿宋_GB2312" w:hAnsi="黑体" w:eastAsia="仿宋_GB2312" w:cs="仿宋_GB2312"/>
          <w:bCs w:val="0"/>
          <w:color w:val="000000" w:themeColor="text1"/>
          <w:highlight w:val="none"/>
        </w:rPr>
        <w:t xml:space="preserve"> </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（一）政策依据</w:t>
      </w:r>
    </w:p>
    <w:p>
      <w:pPr>
        <w:adjustRightInd w:val="0"/>
        <w:ind w:firstLine="640" w:firstLineChars="200"/>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《宝安区促进专业服务业发展的若干措施》支持</w:t>
      </w:r>
      <w:r>
        <w:rPr>
          <w:rFonts w:ascii="仿宋_GB2312" w:hAnsi="微软雅黑" w:eastAsia="仿宋_GB2312" w:cs="宋体"/>
          <w:color w:val="000000"/>
          <w:kern w:val="0"/>
          <w:sz w:val="32"/>
          <w:szCs w:val="32"/>
          <w:highlight w:val="none"/>
        </w:rPr>
        <w:t>措施</w:t>
      </w:r>
      <w:r>
        <w:rPr>
          <w:rFonts w:hint="eastAsia" w:ascii="仿宋_GB2312" w:hAnsi="微软雅黑" w:eastAsia="仿宋_GB2312" w:cs="宋体"/>
          <w:color w:val="000000"/>
          <w:kern w:val="0"/>
          <w:sz w:val="32"/>
          <w:szCs w:val="32"/>
          <w:highlight w:val="none"/>
        </w:rPr>
        <w:t>第（四）项：“</w:t>
      </w:r>
      <w:r>
        <w:rPr>
          <w:rFonts w:hint="eastAsia" w:ascii="仿宋_GB2312" w:hAnsi="仿宋_GB2312" w:eastAsia="仿宋_GB2312" w:cs="仿宋_GB2312"/>
          <w:sz w:val="32"/>
          <w:szCs w:val="32"/>
          <w:highlight w:val="none"/>
        </w:rPr>
        <w:t>对规模以上的专业服务业企业，</w:t>
      </w:r>
      <w:r>
        <w:rPr>
          <w:rFonts w:ascii="仿宋_GB2312" w:hAnsi="仿宋_GB2312" w:eastAsia="仿宋_GB2312" w:cs="仿宋_GB2312"/>
          <w:sz w:val="32"/>
          <w:szCs w:val="32"/>
          <w:highlight w:val="none"/>
        </w:rPr>
        <w:t>按照其在宝安</w:t>
      </w:r>
      <w:r>
        <w:rPr>
          <w:rFonts w:hint="eastAsia" w:ascii="仿宋_GB2312" w:hAnsi="仿宋_GB2312" w:eastAsia="仿宋_GB2312" w:cs="仿宋_GB2312"/>
          <w:sz w:val="32"/>
          <w:szCs w:val="32"/>
          <w:highlight w:val="none"/>
        </w:rPr>
        <w:t>区</w:t>
      </w:r>
      <w:r>
        <w:rPr>
          <w:rFonts w:ascii="仿宋_GB2312" w:hAnsi="仿宋_GB2312" w:eastAsia="仿宋_GB2312" w:cs="仿宋_GB2312"/>
          <w:sz w:val="32"/>
          <w:szCs w:val="32"/>
          <w:highlight w:val="none"/>
        </w:rPr>
        <w:t>租赁</w:t>
      </w:r>
      <w:r>
        <w:rPr>
          <w:rFonts w:hint="eastAsia" w:ascii="仿宋_GB2312" w:hAnsi="仿宋_GB2312" w:eastAsia="仿宋_GB2312" w:cs="仿宋_GB2312"/>
          <w:sz w:val="32"/>
          <w:szCs w:val="32"/>
          <w:highlight w:val="none"/>
        </w:rPr>
        <w:t>自用</w:t>
      </w:r>
      <w:r>
        <w:rPr>
          <w:rFonts w:ascii="仿宋_GB2312" w:hAnsi="仿宋_GB2312" w:eastAsia="仿宋_GB2312" w:cs="仿宋_GB2312"/>
          <w:sz w:val="32"/>
          <w:szCs w:val="32"/>
          <w:highlight w:val="none"/>
        </w:rPr>
        <w:t>办公用房</w:t>
      </w:r>
      <w:r>
        <w:rPr>
          <w:rFonts w:hint="eastAsia" w:ascii="仿宋_GB2312" w:hAnsi="仿宋_GB2312" w:eastAsia="仿宋_GB2312" w:cs="仿宋_GB2312"/>
          <w:sz w:val="32"/>
          <w:szCs w:val="32"/>
          <w:highlight w:val="none"/>
        </w:rPr>
        <w:t>（不含</w:t>
      </w:r>
      <w:r>
        <w:rPr>
          <w:rFonts w:ascii="仿宋_GB2312" w:hAnsi="仿宋_GB2312" w:eastAsia="仿宋_GB2312" w:cs="仿宋_GB2312"/>
          <w:sz w:val="32"/>
          <w:szCs w:val="32"/>
          <w:highlight w:val="none"/>
        </w:rPr>
        <w:t>附属及配套用房</w:t>
      </w:r>
      <w:r>
        <w:rPr>
          <w:rFonts w:hint="eastAsia" w:ascii="仿宋_GB2312" w:hAnsi="仿宋_GB2312" w:eastAsia="仿宋_GB2312" w:cs="仿宋_GB2312"/>
          <w:sz w:val="32"/>
          <w:szCs w:val="32"/>
          <w:highlight w:val="none"/>
        </w:rPr>
        <w:t>）的上年度</w:t>
      </w:r>
      <w:r>
        <w:rPr>
          <w:rFonts w:ascii="仿宋_GB2312" w:hAnsi="仿宋_GB2312" w:eastAsia="仿宋_GB2312" w:cs="仿宋_GB2312"/>
          <w:sz w:val="32"/>
          <w:szCs w:val="32"/>
          <w:highlight w:val="none"/>
        </w:rPr>
        <w:t>租金</w:t>
      </w:r>
      <w:r>
        <w:rPr>
          <w:rFonts w:hint="eastAsia" w:ascii="仿宋_GB2312" w:hAnsi="仿宋_GB2312" w:eastAsia="仿宋_GB2312" w:cs="仿宋_GB2312"/>
          <w:sz w:val="32"/>
          <w:szCs w:val="32"/>
          <w:highlight w:val="none"/>
        </w:rPr>
        <w:t>总额的20</w:t>
      </w:r>
      <w:r>
        <w:rPr>
          <w:rFonts w:ascii="仿宋_GB2312" w:hAnsi="仿宋_GB2312" w:eastAsia="仿宋_GB2312" w:cs="仿宋_GB2312"/>
          <w:sz w:val="32"/>
          <w:szCs w:val="32"/>
          <w:highlight w:val="none"/>
        </w:rPr>
        <w:t>%予以补贴</w:t>
      </w:r>
      <w:r>
        <w:rPr>
          <w:rFonts w:hint="eastAsia" w:ascii="仿宋_GB2312" w:hAnsi="仿宋_GB2312" w:eastAsia="仿宋_GB2312" w:cs="仿宋_GB2312"/>
          <w:sz w:val="32"/>
          <w:szCs w:val="32"/>
          <w:highlight w:val="none"/>
        </w:rPr>
        <w:t>。对优质</w:t>
      </w:r>
      <w:r>
        <w:rPr>
          <w:rFonts w:ascii="仿宋_GB2312" w:hAnsi="仿宋_GB2312" w:eastAsia="仿宋_GB2312" w:cs="仿宋_GB2312"/>
          <w:sz w:val="32"/>
          <w:szCs w:val="32"/>
          <w:highlight w:val="none"/>
        </w:rPr>
        <w:t>企业</w:t>
      </w:r>
      <w:r>
        <w:rPr>
          <w:rFonts w:hint="eastAsia" w:ascii="仿宋_GB2312" w:hAnsi="仿宋_GB2312" w:eastAsia="仿宋_GB2312" w:cs="仿宋_GB2312"/>
          <w:sz w:val="32"/>
          <w:szCs w:val="32"/>
          <w:highlight w:val="none"/>
        </w:rPr>
        <w:t>，按照上年度</w:t>
      </w:r>
      <w:r>
        <w:rPr>
          <w:rFonts w:ascii="仿宋_GB2312" w:hAnsi="仿宋_GB2312" w:eastAsia="仿宋_GB2312" w:cs="仿宋_GB2312"/>
          <w:sz w:val="32"/>
          <w:szCs w:val="32"/>
          <w:highlight w:val="none"/>
        </w:rPr>
        <w:t>租金</w:t>
      </w:r>
      <w:r>
        <w:rPr>
          <w:rFonts w:hint="eastAsia" w:ascii="仿宋_GB2312" w:hAnsi="仿宋_GB2312" w:eastAsia="仿宋_GB2312" w:cs="仿宋_GB2312"/>
          <w:sz w:val="32"/>
          <w:szCs w:val="32"/>
          <w:highlight w:val="none"/>
        </w:rPr>
        <w:t>总额的50</w:t>
      </w:r>
      <w:r>
        <w:rPr>
          <w:rFonts w:ascii="仿宋_GB2312" w:hAnsi="仿宋_GB2312" w:eastAsia="仿宋_GB2312" w:cs="仿宋_GB2312"/>
          <w:sz w:val="32"/>
          <w:szCs w:val="32"/>
          <w:highlight w:val="none"/>
        </w:rPr>
        <w:t>%予以补贴</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每年度</w:t>
      </w:r>
      <w:r>
        <w:rPr>
          <w:rFonts w:hint="eastAsia" w:ascii="仿宋_GB2312" w:hAnsi="仿宋_GB2312" w:eastAsia="仿宋_GB2312" w:cs="仿宋_GB2312"/>
          <w:sz w:val="32"/>
          <w:szCs w:val="32"/>
          <w:highlight w:val="none"/>
        </w:rPr>
        <w:t>每企业最高</w:t>
      </w:r>
      <w:r>
        <w:rPr>
          <w:rFonts w:ascii="仿宋_GB2312" w:hAnsi="仿宋_GB2312" w:eastAsia="仿宋_GB2312" w:cs="仿宋_GB2312"/>
          <w:sz w:val="32"/>
          <w:szCs w:val="32"/>
          <w:highlight w:val="none"/>
        </w:rPr>
        <w:t>不超过</w:t>
      </w:r>
      <w:r>
        <w:rPr>
          <w:rFonts w:hint="eastAsia" w:ascii="仿宋_GB2312" w:hAnsi="仿宋_GB2312" w:eastAsia="仿宋_GB2312" w:cs="仿宋_GB2312"/>
          <w:sz w:val="32"/>
          <w:szCs w:val="32"/>
          <w:highlight w:val="none"/>
        </w:rPr>
        <w:t>1</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0万元</w:t>
      </w:r>
      <w:r>
        <w:rPr>
          <w:rFonts w:ascii="仿宋_GB2312" w:hAnsi="仿宋_GB2312" w:eastAsia="仿宋_GB2312" w:cs="仿宋_GB2312"/>
          <w:sz w:val="32"/>
          <w:szCs w:val="32"/>
          <w:highlight w:val="none"/>
        </w:rPr>
        <w:t>，累计补贴不超过</w:t>
      </w:r>
      <w:r>
        <w:rPr>
          <w:rFonts w:hint="eastAsia" w:ascii="仿宋_GB2312" w:hAnsi="仿宋_GB2312" w:eastAsia="仿宋_GB2312" w:cs="仿宋_GB2312"/>
          <w:sz w:val="32"/>
          <w:szCs w:val="32"/>
          <w:highlight w:val="none"/>
        </w:rPr>
        <w:t>3年</w:t>
      </w:r>
      <w:r>
        <w:rPr>
          <w:rFonts w:ascii="仿宋_GB2312" w:hAnsi="仿宋_GB2312" w:eastAsia="仿宋_GB2312" w:cs="仿宋_GB2312"/>
          <w:sz w:val="32"/>
          <w:szCs w:val="32"/>
          <w:highlight w:val="none"/>
        </w:rPr>
        <w:t>。享受</w:t>
      </w:r>
      <w:r>
        <w:rPr>
          <w:rFonts w:hint="eastAsia" w:ascii="仿宋_GB2312" w:hAnsi="仿宋_GB2312" w:eastAsia="仿宋_GB2312" w:cs="仿宋_GB2312"/>
          <w:sz w:val="32"/>
          <w:szCs w:val="32"/>
          <w:highlight w:val="none"/>
        </w:rPr>
        <w:t>租金</w:t>
      </w:r>
      <w:r>
        <w:rPr>
          <w:rFonts w:ascii="仿宋_GB2312" w:hAnsi="仿宋_GB2312" w:eastAsia="仿宋_GB2312" w:cs="仿宋_GB2312"/>
          <w:sz w:val="32"/>
          <w:szCs w:val="32"/>
          <w:highlight w:val="none"/>
        </w:rPr>
        <w:t>补贴的办公用房</w:t>
      </w:r>
      <w:r>
        <w:rPr>
          <w:rFonts w:hint="eastAsia" w:ascii="仿宋_GB2312" w:hAnsi="仿宋_GB2312" w:eastAsia="仿宋_GB2312" w:cs="仿宋_GB2312"/>
          <w:sz w:val="32"/>
          <w:szCs w:val="32"/>
          <w:highlight w:val="none"/>
        </w:rPr>
        <w:t>只限</w:t>
      </w:r>
      <w:r>
        <w:rPr>
          <w:rFonts w:ascii="仿宋_GB2312" w:hAnsi="仿宋_GB2312" w:eastAsia="仿宋_GB2312" w:cs="仿宋_GB2312"/>
          <w:sz w:val="32"/>
          <w:szCs w:val="32"/>
          <w:highlight w:val="none"/>
        </w:rPr>
        <w:t>自用，</w:t>
      </w:r>
      <w:r>
        <w:rPr>
          <w:rFonts w:hint="eastAsia" w:ascii="仿宋_GB2312" w:hAnsi="仿宋_GB2312" w:eastAsia="仿宋_GB2312" w:cs="仿宋_GB2312"/>
          <w:sz w:val="32"/>
          <w:szCs w:val="32"/>
          <w:highlight w:val="none"/>
        </w:rPr>
        <w:t>不得转租</w:t>
      </w:r>
      <w:r>
        <w:rPr>
          <w:rFonts w:ascii="仿宋_GB2312" w:hAnsi="仿宋_GB2312" w:eastAsia="仿宋_GB2312" w:cs="仿宋_GB2312"/>
          <w:sz w:val="32"/>
          <w:szCs w:val="32"/>
          <w:highlight w:val="none"/>
        </w:rPr>
        <w:t>、分租。</w:t>
      </w:r>
      <w:r>
        <w:rPr>
          <w:rFonts w:hint="eastAsia" w:ascii="仿宋_GB2312" w:hAnsi="微软雅黑" w:eastAsia="仿宋_GB2312" w:cs="宋体"/>
          <w:color w:val="000000"/>
          <w:kern w:val="0"/>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（二）补贴条件</w:t>
      </w:r>
    </w:p>
    <w:p>
      <w:pPr>
        <w:widowControl/>
        <w:shd w:val="clear" w:color="auto" w:fill="FFFFFF"/>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微软雅黑" w:eastAsia="仿宋_GB2312" w:cs="宋体"/>
          <w:color w:val="000000"/>
          <w:kern w:val="0"/>
          <w:sz w:val="32"/>
          <w:szCs w:val="32"/>
          <w:highlight w:val="none"/>
        </w:rPr>
        <w:t>1、申报主体为</w:t>
      </w:r>
      <w:r>
        <w:rPr>
          <w:rFonts w:hint="eastAsia" w:ascii="仿宋_GB2312" w:hAnsi="仿宋_GB2312" w:eastAsia="仿宋_GB2312" w:cs="仿宋_GB2312"/>
          <w:sz w:val="32"/>
          <w:szCs w:val="32"/>
          <w:highlight w:val="none"/>
        </w:rPr>
        <w:t>人力资源</w:t>
      </w:r>
      <w:r>
        <w:rPr>
          <w:rFonts w:ascii="仿宋_GB2312" w:hAnsi="仿宋_GB2312" w:eastAsia="仿宋_GB2312" w:cs="仿宋_GB2312"/>
          <w:sz w:val="32"/>
          <w:szCs w:val="32"/>
          <w:highlight w:val="none"/>
        </w:rPr>
        <w:t>服务业</w:t>
      </w:r>
      <w:r>
        <w:rPr>
          <w:rFonts w:hint="eastAsia" w:ascii="仿宋_GB2312" w:hAnsi="仿宋_GB2312" w:eastAsia="仿宋_GB2312" w:cs="仿宋_GB2312"/>
          <w:sz w:val="32"/>
          <w:szCs w:val="32"/>
          <w:highlight w:val="none"/>
        </w:rPr>
        <w:t>营业</w:t>
      </w:r>
      <w:r>
        <w:rPr>
          <w:rFonts w:hint="eastAsia" w:ascii="仿宋_GB2312" w:hAnsi="仿宋_GB2312" w:eastAsia="仿宋_GB2312" w:cs="仿宋_GB2312"/>
          <w:sz w:val="32"/>
          <w:szCs w:val="32"/>
          <w:highlight w:val="none"/>
          <w:lang w:eastAsia="zh-CN"/>
        </w:rPr>
        <w:t>收入（</w:t>
      </w:r>
      <w:r>
        <w:rPr>
          <w:rFonts w:hint="eastAsia" w:ascii="仿宋_GB2312" w:hAnsi="仿宋_GB2312" w:eastAsia="仿宋_GB2312" w:cs="仿宋_GB2312"/>
          <w:sz w:val="32"/>
          <w:szCs w:val="32"/>
          <w:highlight w:val="none"/>
          <w:u w:val="double" w:color="FF0000"/>
          <w:lang w:eastAsia="zh-CN"/>
        </w:rPr>
        <w:t>不含代收代支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超过1000万元的已入库规模以上</w:t>
      </w:r>
      <w:r>
        <w:rPr>
          <w:rFonts w:ascii="仿宋_GB2312" w:hAnsi="微软雅黑" w:eastAsia="仿宋_GB2312" w:cs="宋体"/>
          <w:kern w:val="0"/>
          <w:sz w:val="32"/>
          <w:szCs w:val="32"/>
          <w:highlight w:val="none"/>
        </w:rPr>
        <w:t>企业</w:t>
      </w:r>
      <w:r>
        <w:rPr>
          <w:rFonts w:hint="eastAsia" w:ascii="仿宋_GB2312" w:hAnsi="微软雅黑" w:eastAsia="仿宋_GB2312" w:cs="宋体"/>
          <w:kern w:val="0"/>
          <w:sz w:val="32"/>
          <w:szCs w:val="32"/>
          <w:highlight w:val="none"/>
        </w:rPr>
        <w:t>或符合本规程第二章规定条件的优质企业；</w:t>
      </w:r>
    </w:p>
    <w:p>
      <w:pPr>
        <w:widowControl/>
        <w:shd w:val="clear" w:color="auto" w:fill="FFFFFF"/>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2、申报主体在宝安区租用办公用房，作为企业的人力资源服务业经营场所，同时按时支付场地租金。</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（三）补贴标准</w:t>
      </w:r>
    </w:p>
    <w:p>
      <w:pPr>
        <w:widowControl/>
        <w:shd w:val="clear" w:color="auto" w:fill="FFFFFF"/>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1、对已入库的规模以上人力资源</w:t>
      </w:r>
      <w:r>
        <w:rPr>
          <w:rFonts w:ascii="仿宋_GB2312" w:hAnsi="仿宋_GB2312" w:eastAsia="仿宋_GB2312" w:cs="仿宋_GB2312"/>
          <w:sz w:val="32"/>
          <w:szCs w:val="32"/>
          <w:highlight w:val="none"/>
        </w:rPr>
        <w:t>服务业</w:t>
      </w:r>
      <w:r>
        <w:rPr>
          <w:rFonts w:hint="eastAsia" w:ascii="仿宋_GB2312" w:hAnsi="仿宋_GB2312" w:eastAsia="仿宋_GB2312" w:cs="仿宋_GB2312"/>
          <w:sz w:val="32"/>
          <w:szCs w:val="32"/>
          <w:highlight w:val="none"/>
        </w:rPr>
        <w:t>企业，</w:t>
      </w:r>
      <w:r>
        <w:rPr>
          <w:rFonts w:ascii="仿宋_GB2312" w:hAnsi="仿宋_GB2312" w:eastAsia="仿宋_GB2312" w:cs="仿宋_GB2312"/>
          <w:sz w:val="32"/>
          <w:szCs w:val="32"/>
          <w:highlight w:val="none"/>
        </w:rPr>
        <w:t>按照其在宝安</w:t>
      </w:r>
      <w:r>
        <w:rPr>
          <w:rFonts w:hint="eastAsia" w:ascii="仿宋_GB2312" w:hAnsi="仿宋_GB2312" w:eastAsia="仿宋_GB2312" w:cs="仿宋_GB2312"/>
          <w:sz w:val="32"/>
          <w:szCs w:val="32"/>
          <w:highlight w:val="none"/>
        </w:rPr>
        <w:t>区</w:t>
      </w:r>
      <w:r>
        <w:rPr>
          <w:rFonts w:ascii="仿宋_GB2312" w:hAnsi="仿宋_GB2312" w:eastAsia="仿宋_GB2312" w:cs="仿宋_GB2312"/>
          <w:sz w:val="32"/>
          <w:szCs w:val="32"/>
          <w:highlight w:val="none"/>
        </w:rPr>
        <w:t>租赁</w:t>
      </w:r>
      <w:r>
        <w:rPr>
          <w:rFonts w:hint="eastAsia" w:ascii="仿宋_GB2312" w:hAnsi="仿宋_GB2312" w:eastAsia="仿宋_GB2312" w:cs="仿宋_GB2312"/>
          <w:sz w:val="32"/>
          <w:szCs w:val="32"/>
          <w:highlight w:val="none"/>
        </w:rPr>
        <w:t>自用</w:t>
      </w:r>
      <w:r>
        <w:rPr>
          <w:rFonts w:ascii="仿宋_GB2312" w:hAnsi="仿宋_GB2312" w:eastAsia="仿宋_GB2312" w:cs="仿宋_GB2312"/>
          <w:sz w:val="32"/>
          <w:szCs w:val="32"/>
          <w:highlight w:val="none"/>
        </w:rPr>
        <w:t>办公用房</w:t>
      </w:r>
      <w:r>
        <w:rPr>
          <w:rFonts w:hint="eastAsia" w:ascii="仿宋_GB2312" w:hAnsi="仿宋_GB2312" w:eastAsia="仿宋_GB2312" w:cs="仿宋_GB2312"/>
          <w:sz w:val="32"/>
          <w:szCs w:val="32"/>
          <w:highlight w:val="none"/>
        </w:rPr>
        <w:t>（不含</w:t>
      </w:r>
      <w:r>
        <w:rPr>
          <w:rFonts w:ascii="仿宋_GB2312" w:hAnsi="仿宋_GB2312" w:eastAsia="仿宋_GB2312" w:cs="仿宋_GB2312"/>
          <w:sz w:val="32"/>
          <w:szCs w:val="32"/>
          <w:highlight w:val="none"/>
        </w:rPr>
        <w:t>附属及配套用房</w:t>
      </w:r>
      <w:r>
        <w:rPr>
          <w:rFonts w:hint="eastAsia" w:ascii="仿宋_GB2312" w:hAnsi="仿宋_GB2312" w:eastAsia="仿宋_GB2312" w:cs="仿宋_GB2312"/>
          <w:sz w:val="32"/>
          <w:szCs w:val="32"/>
          <w:highlight w:val="none"/>
        </w:rPr>
        <w:t>）的上年度</w:t>
      </w:r>
      <w:r>
        <w:rPr>
          <w:rFonts w:ascii="仿宋_GB2312" w:hAnsi="仿宋_GB2312" w:eastAsia="仿宋_GB2312" w:cs="仿宋_GB2312"/>
          <w:sz w:val="32"/>
          <w:szCs w:val="32"/>
          <w:highlight w:val="none"/>
        </w:rPr>
        <w:t>租金</w:t>
      </w:r>
      <w:r>
        <w:rPr>
          <w:rFonts w:hint="eastAsia" w:ascii="仿宋_GB2312" w:hAnsi="仿宋_GB2312" w:eastAsia="仿宋_GB2312" w:cs="仿宋_GB2312"/>
          <w:sz w:val="32"/>
          <w:szCs w:val="32"/>
          <w:highlight w:val="none"/>
        </w:rPr>
        <w:t>总额的20</w:t>
      </w:r>
      <w:r>
        <w:rPr>
          <w:rFonts w:ascii="仿宋_GB2312" w:hAnsi="仿宋_GB2312" w:eastAsia="仿宋_GB2312" w:cs="仿宋_GB2312"/>
          <w:sz w:val="32"/>
          <w:szCs w:val="32"/>
          <w:highlight w:val="none"/>
        </w:rPr>
        <w:t>%予以补贴</w:t>
      </w:r>
      <w:r>
        <w:rPr>
          <w:rFonts w:hint="eastAsia" w:ascii="仿宋_GB2312" w:hAnsi="仿宋_GB2312" w:eastAsia="仿宋_GB2312" w:cs="仿宋_GB2312"/>
          <w:sz w:val="32"/>
          <w:szCs w:val="32"/>
          <w:highlight w:val="none"/>
        </w:rPr>
        <w:t>。</w:t>
      </w:r>
    </w:p>
    <w:p>
      <w:pPr>
        <w:widowControl/>
        <w:shd w:val="clear" w:color="auto" w:fill="FFFFFF"/>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2、对优质</w:t>
      </w:r>
      <w:r>
        <w:rPr>
          <w:rFonts w:ascii="仿宋_GB2312" w:hAnsi="仿宋_GB2312" w:eastAsia="仿宋_GB2312" w:cs="仿宋_GB2312"/>
          <w:sz w:val="32"/>
          <w:szCs w:val="32"/>
          <w:highlight w:val="none"/>
        </w:rPr>
        <w:t>企业</w:t>
      </w:r>
      <w:r>
        <w:rPr>
          <w:rFonts w:hint="eastAsia" w:ascii="仿宋_GB2312" w:hAnsi="仿宋_GB2312" w:eastAsia="仿宋_GB2312" w:cs="仿宋_GB2312"/>
          <w:sz w:val="32"/>
          <w:szCs w:val="32"/>
          <w:highlight w:val="none"/>
        </w:rPr>
        <w:t>，按照上年度</w:t>
      </w:r>
      <w:r>
        <w:rPr>
          <w:rFonts w:ascii="仿宋_GB2312" w:hAnsi="仿宋_GB2312" w:eastAsia="仿宋_GB2312" w:cs="仿宋_GB2312"/>
          <w:sz w:val="32"/>
          <w:szCs w:val="32"/>
          <w:highlight w:val="none"/>
        </w:rPr>
        <w:t>租金</w:t>
      </w:r>
      <w:r>
        <w:rPr>
          <w:rFonts w:hint="eastAsia" w:ascii="仿宋_GB2312" w:hAnsi="仿宋_GB2312" w:eastAsia="仿宋_GB2312" w:cs="仿宋_GB2312"/>
          <w:sz w:val="32"/>
          <w:szCs w:val="32"/>
          <w:highlight w:val="none"/>
        </w:rPr>
        <w:t>总额的50</w:t>
      </w:r>
      <w:r>
        <w:rPr>
          <w:rFonts w:ascii="仿宋_GB2312" w:hAnsi="仿宋_GB2312" w:eastAsia="仿宋_GB2312" w:cs="仿宋_GB2312"/>
          <w:sz w:val="32"/>
          <w:szCs w:val="32"/>
          <w:highlight w:val="none"/>
        </w:rPr>
        <w:t>%予以补贴</w:t>
      </w:r>
      <w:r>
        <w:rPr>
          <w:rFonts w:hint="eastAsia" w:ascii="仿宋_GB2312" w:hAnsi="仿宋_GB2312" w:eastAsia="仿宋_GB2312" w:cs="仿宋_GB2312"/>
          <w:sz w:val="32"/>
          <w:szCs w:val="32"/>
          <w:highlight w:val="none"/>
        </w:rPr>
        <w:t>。</w:t>
      </w:r>
    </w:p>
    <w:p>
      <w:pPr>
        <w:widowControl/>
        <w:shd w:val="clear" w:color="auto" w:fill="FFFFFF"/>
        <w:adjustRightInd w:val="0"/>
        <w:spacing w:line="450" w:lineRule="atLeast"/>
        <w:ind w:firstLine="640" w:firstLineChars="200"/>
        <w:jc w:val="lef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每年度</w:t>
      </w:r>
      <w:r>
        <w:rPr>
          <w:rFonts w:hint="eastAsia" w:ascii="仿宋_GB2312" w:hAnsi="仿宋_GB2312" w:eastAsia="仿宋_GB2312" w:cs="仿宋_GB2312"/>
          <w:sz w:val="32"/>
          <w:szCs w:val="32"/>
          <w:highlight w:val="none"/>
        </w:rPr>
        <w:t>每企业享受补贴最高</w:t>
      </w:r>
      <w:r>
        <w:rPr>
          <w:rFonts w:ascii="仿宋_GB2312" w:hAnsi="仿宋_GB2312" w:eastAsia="仿宋_GB2312" w:cs="仿宋_GB2312"/>
          <w:sz w:val="32"/>
          <w:szCs w:val="32"/>
          <w:highlight w:val="none"/>
        </w:rPr>
        <w:t>不超过</w:t>
      </w:r>
      <w:r>
        <w:rPr>
          <w:rFonts w:hint="eastAsia" w:ascii="仿宋_GB2312" w:hAnsi="仿宋_GB2312" w:eastAsia="仿宋_GB2312" w:cs="仿宋_GB2312"/>
          <w:sz w:val="32"/>
          <w:szCs w:val="32"/>
          <w:highlight w:val="none"/>
        </w:rPr>
        <w:t>1</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0万元</w:t>
      </w:r>
      <w:r>
        <w:rPr>
          <w:rFonts w:ascii="仿宋_GB2312" w:hAnsi="仿宋_GB2312" w:eastAsia="仿宋_GB2312" w:cs="仿宋_GB2312"/>
          <w:sz w:val="32"/>
          <w:szCs w:val="32"/>
          <w:highlight w:val="none"/>
        </w:rPr>
        <w:t>，累计补贴不超过</w:t>
      </w:r>
      <w:r>
        <w:rPr>
          <w:rFonts w:hint="eastAsia" w:ascii="仿宋_GB2312" w:hAnsi="仿宋_GB2312" w:eastAsia="仿宋_GB2312" w:cs="仿宋_GB2312"/>
          <w:sz w:val="32"/>
          <w:szCs w:val="32"/>
          <w:highlight w:val="none"/>
        </w:rPr>
        <w:t>3年</w:t>
      </w:r>
      <w:r>
        <w:rPr>
          <w:rFonts w:ascii="仿宋_GB2312" w:hAnsi="仿宋_GB2312" w:eastAsia="仿宋_GB2312" w:cs="仿宋_GB2312"/>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（四）专项申请材料</w:t>
      </w:r>
    </w:p>
    <w:p>
      <w:pPr>
        <w:widowControl/>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微软雅黑" w:eastAsia="仿宋_GB2312" w:cs="宋体"/>
          <w:kern w:val="0"/>
          <w:sz w:val="32"/>
          <w:szCs w:val="32"/>
          <w:highlight w:val="none"/>
        </w:rPr>
        <w:t>1、申报主体为</w:t>
      </w:r>
      <w:r>
        <w:rPr>
          <w:rFonts w:hint="eastAsia" w:ascii="仿宋_GB2312" w:hAnsi="仿宋_GB2312" w:eastAsia="仿宋_GB2312" w:cs="仿宋_GB2312"/>
          <w:sz w:val="32"/>
          <w:szCs w:val="32"/>
          <w:highlight w:val="none"/>
        </w:rPr>
        <w:t>规模以上的人力资源服务业企业须提交以下材料：</w:t>
      </w:r>
    </w:p>
    <w:p>
      <w:pPr>
        <w:widowControl/>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仿宋_GB2312" w:eastAsia="仿宋_GB2312" w:cs="仿宋_GB2312"/>
          <w:sz w:val="32"/>
          <w:szCs w:val="32"/>
          <w:highlight w:val="none"/>
        </w:rPr>
        <w:t>（1）已入库的规模以上人力资源</w:t>
      </w:r>
      <w:r>
        <w:rPr>
          <w:rFonts w:ascii="仿宋_GB2312" w:hAnsi="仿宋_GB2312" w:eastAsia="仿宋_GB2312" w:cs="仿宋_GB2312"/>
          <w:sz w:val="32"/>
          <w:szCs w:val="32"/>
          <w:highlight w:val="none"/>
        </w:rPr>
        <w:t>服务业</w:t>
      </w:r>
      <w:r>
        <w:rPr>
          <w:rFonts w:hint="eastAsia" w:ascii="仿宋_GB2312" w:hAnsi="仿宋_GB2312" w:eastAsia="仿宋_GB2312" w:cs="仿宋_GB2312"/>
          <w:sz w:val="32"/>
          <w:szCs w:val="32"/>
          <w:highlight w:val="none"/>
        </w:rPr>
        <w:t>企业证明材料(</w:t>
      </w:r>
      <w:r>
        <w:rPr>
          <w:rFonts w:hint="eastAsia" w:ascii="仿宋_GB2312" w:hAnsi="微软雅黑" w:eastAsia="仿宋_GB2312" w:cs="宋体"/>
          <w:kern w:val="0"/>
          <w:sz w:val="32"/>
          <w:szCs w:val="32"/>
          <w:highlight w:val="none"/>
        </w:rPr>
        <w:t>上年度审计</w:t>
      </w:r>
      <w:r>
        <w:rPr>
          <w:rFonts w:ascii="仿宋_GB2312" w:hAnsi="微软雅黑" w:eastAsia="仿宋_GB2312" w:cs="宋体"/>
          <w:kern w:val="0"/>
          <w:sz w:val="32"/>
          <w:szCs w:val="32"/>
          <w:highlight w:val="none"/>
        </w:rPr>
        <w:t>报告</w:t>
      </w:r>
      <w:r>
        <w:rPr>
          <w:rFonts w:hint="eastAsia" w:ascii="仿宋_GB2312" w:hAnsi="微软雅黑" w:eastAsia="仿宋_GB2312" w:cs="宋体"/>
          <w:kern w:val="0"/>
          <w:sz w:val="32"/>
          <w:szCs w:val="32"/>
          <w:highlight w:val="none"/>
        </w:rPr>
        <w:t>、上年度在宝安区经营的营业收入统计数据（通过国家统计联网直报平台打印，需为带水印的pdf文件））;</w:t>
      </w:r>
    </w:p>
    <w:p>
      <w:pPr>
        <w:widowControl/>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（2）申报主体上年度在宝安区租赁办公用房的证明材料（租赁合同、租赁备案材料、</w:t>
      </w:r>
      <w:r>
        <w:rPr>
          <w:rFonts w:hint="eastAsia" w:ascii="仿宋_GB2312" w:hAnsi="微软雅黑" w:eastAsia="仿宋_GB2312" w:cs="宋体"/>
          <w:kern w:val="0"/>
          <w:sz w:val="32"/>
          <w:szCs w:val="32"/>
          <w:highlight w:val="none"/>
        </w:rPr>
        <w:t>年度租金支付凭证，如发票或加盖公章的银行流水</w:t>
      </w:r>
      <w:r>
        <w:rPr>
          <w:rFonts w:hint="eastAsia" w:ascii="仿宋_GB2312" w:hAnsi="仿宋_GB2312" w:eastAsia="仿宋_GB2312" w:cs="仿宋_GB2312"/>
          <w:sz w:val="32"/>
          <w:szCs w:val="32"/>
          <w:highlight w:val="none"/>
        </w:rPr>
        <w:t>）；</w:t>
      </w:r>
    </w:p>
    <w:p>
      <w:pPr>
        <w:widowControl/>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微软雅黑" w:eastAsia="仿宋_GB2312" w:cs="宋体"/>
          <w:kern w:val="0"/>
          <w:sz w:val="32"/>
          <w:szCs w:val="32"/>
          <w:highlight w:val="none"/>
        </w:rPr>
        <w:t>租赁办公用房信息明细表。</w:t>
      </w:r>
    </w:p>
    <w:p>
      <w:pPr>
        <w:widowControl/>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微软雅黑" w:eastAsia="仿宋_GB2312" w:cs="宋体"/>
          <w:kern w:val="0"/>
          <w:sz w:val="32"/>
          <w:szCs w:val="32"/>
          <w:highlight w:val="none"/>
        </w:rPr>
        <w:t>2、申报主体为</w:t>
      </w:r>
      <w:r>
        <w:rPr>
          <w:rFonts w:hint="eastAsia" w:ascii="仿宋_GB2312" w:hAnsi="仿宋_GB2312" w:eastAsia="仿宋_GB2312" w:cs="仿宋_GB2312"/>
          <w:sz w:val="32"/>
          <w:szCs w:val="32"/>
          <w:highlight w:val="none"/>
        </w:rPr>
        <w:t>优质企业的须提交以下材料：</w:t>
      </w:r>
    </w:p>
    <w:p>
      <w:pPr>
        <w:pStyle w:val="33"/>
        <w:widowControl/>
        <w:adjustRightInd w:val="0"/>
        <w:spacing w:line="450" w:lineRule="atLeast"/>
        <w:ind w:firstLine="640"/>
        <w:rPr>
          <w:rFonts w:ascii="仿宋_GB2312" w:hAnsi="微软雅黑" w:eastAsia="仿宋_GB2312" w:cs="宋体"/>
          <w:kern w:val="0"/>
          <w:sz w:val="32"/>
          <w:szCs w:val="32"/>
          <w:highlight w:val="none"/>
          <w:lang w:bidi="mn-Mong-CN"/>
        </w:rPr>
      </w:pPr>
      <w:r>
        <w:rPr>
          <w:rFonts w:hint="eastAsia" w:ascii="仿宋_GB2312" w:hAnsi="仿宋_GB2312" w:eastAsia="仿宋_GB2312" w:cs="仿宋_GB2312"/>
          <w:sz w:val="32"/>
          <w:szCs w:val="32"/>
          <w:highlight w:val="none"/>
        </w:rPr>
        <w:t>（1）</w:t>
      </w:r>
      <w:r>
        <w:rPr>
          <w:rFonts w:hint="eastAsia" w:ascii="仿宋_GB2312" w:hAnsi="微软雅黑" w:eastAsia="仿宋_GB2312" w:cs="宋体"/>
          <w:kern w:val="0"/>
          <w:sz w:val="32"/>
          <w:szCs w:val="32"/>
          <w:highlight w:val="none"/>
          <w:lang w:bidi="mn-Mong-CN"/>
        </w:rPr>
        <w:t>优质企业证明材料（</w:t>
      </w:r>
      <w:r>
        <w:rPr>
          <w:rFonts w:hint="eastAsia" w:ascii="仿宋_GB2312" w:hAnsi="微软雅黑" w:eastAsia="仿宋_GB2312" w:cs="宋体"/>
          <w:kern w:val="0"/>
          <w:sz w:val="32"/>
          <w:szCs w:val="32"/>
          <w:highlight w:val="none"/>
        </w:rPr>
        <w:t>上年度审计</w:t>
      </w:r>
      <w:r>
        <w:rPr>
          <w:rFonts w:ascii="仿宋_GB2312" w:hAnsi="微软雅黑" w:eastAsia="仿宋_GB2312" w:cs="宋体"/>
          <w:kern w:val="0"/>
          <w:sz w:val="32"/>
          <w:szCs w:val="32"/>
          <w:highlight w:val="none"/>
        </w:rPr>
        <w:t>报告</w:t>
      </w:r>
      <w:r>
        <w:rPr>
          <w:rFonts w:hint="eastAsia" w:ascii="仿宋_GB2312" w:hAnsi="微软雅黑" w:eastAsia="仿宋_GB2312" w:cs="宋体"/>
          <w:kern w:val="0"/>
          <w:sz w:val="32"/>
          <w:szCs w:val="32"/>
          <w:highlight w:val="none"/>
          <w:lang w:bidi="mn-Mong-CN"/>
        </w:rPr>
        <w:t>、上年度营业收入统计数据（通过国家统计联网直报平台打印，需为带水印的pdf文件）或</w:t>
      </w:r>
      <w:r>
        <w:rPr>
          <w:rFonts w:hint="eastAsia" w:ascii="仿宋_GB2312" w:hAnsi="微软雅黑" w:eastAsia="仿宋_GB2312" w:cs="宋体"/>
          <w:kern w:val="0"/>
          <w:sz w:val="32"/>
          <w:szCs w:val="32"/>
          <w:highlight w:val="none"/>
        </w:rPr>
        <w:t>上一年度被列入HRoot公司每年度推出的“大中华区人力资源服务品牌100强”的证明材料）</w:t>
      </w:r>
      <w:r>
        <w:rPr>
          <w:rFonts w:hint="eastAsia" w:ascii="仿宋_GB2312" w:hAnsi="微软雅黑" w:eastAsia="仿宋_GB2312" w:cs="宋体"/>
          <w:kern w:val="0"/>
          <w:sz w:val="32"/>
          <w:szCs w:val="32"/>
          <w:highlight w:val="none"/>
          <w:lang w:bidi="mn-Mong-CN"/>
        </w:rPr>
        <w:t>；</w:t>
      </w:r>
    </w:p>
    <w:p>
      <w:pPr>
        <w:widowControl/>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仿宋_GB2312" w:eastAsia="仿宋_GB2312" w:cs="仿宋_GB2312"/>
          <w:sz w:val="32"/>
          <w:szCs w:val="32"/>
          <w:highlight w:val="none"/>
        </w:rPr>
        <w:t>（2）申报主体上年度在宝安区租赁办公用房的证明材料（租赁合同、租赁备案材料、</w:t>
      </w:r>
      <w:r>
        <w:rPr>
          <w:rFonts w:hint="eastAsia" w:ascii="仿宋_GB2312" w:hAnsi="微软雅黑" w:eastAsia="仿宋_GB2312" w:cs="宋体"/>
          <w:kern w:val="0"/>
          <w:sz w:val="32"/>
          <w:szCs w:val="32"/>
          <w:highlight w:val="none"/>
        </w:rPr>
        <w:t>年度租金支付凭证，如发票或加盖公章的银行流水</w:t>
      </w:r>
      <w:r>
        <w:rPr>
          <w:rFonts w:hint="eastAsia" w:ascii="仿宋_GB2312" w:hAnsi="仿宋_GB2312" w:eastAsia="仿宋_GB2312" w:cs="仿宋_GB2312"/>
          <w:sz w:val="32"/>
          <w:szCs w:val="32"/>
          <w:highlight w:val="none"/>
        </w:rPr>
        <w:t>）；</w:t>
      </w:r>
    </w:p>
    <w:p>
      <w:pPr>
        <w:widowControl/>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微软雅黑" w:eastAsia="仿宋_GB2312" w:cs="宋体"/>
          <w:kern w:val="0"/>
          <w:sz w:val="32"/>
          <w:szCs w:val="32"/>
          <w:highlight w:val="none"/>
          <w:lang w:bidi="ar-SA"/>
        </w:rPr>
        <w:t>租赁办公用房信息明细表。</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（五）受理申报部门：宝安区人力资源局。</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（六）项目审批补充流程：</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1、区住建局核实申报主体房屋租赁备案信息；</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2、区统计局核定企业是否为已入库的规模以上人力资源服务业企业。</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3、区人力资源局对租赁</w:t>
      </w:r>
      <w:r>
        <w:rPr>
          <w:rFonts w:ascii="仿宋_GB2312" w:hAnsi="微软雅黑" w:eastAsia="仿宋_GB2312" w:cs="宋体"/>
          <w:kern w:val="0"/>
          <w:sz w:val="32"/>
          <w:szCs w:val="32"/>
          <w:highlight w:val="none"/>
        </w:rPr>
        <w:t>办公用房进行实地核</w:t>
      </w:r>
      <w:r>
        <w:rPr>
          <w:rFonts w:hint="eastAsia" w:ascii="仿宋_GB2312" w:hAnsi="微软雅黑" w:eastAsia="仿宋_GB2312" w:cs="宋体"/>
          <w:kern w:val="0"/>
          <w:sz w:val="32"/>
          <w:szCs w:val="32"/>
          <w:highlight w:val="none"/>
        </w:rPr>
        <w:t>查。</w:t>
      </w:r>
    </w:p>
    <w:p>
      <w:pPr>
        <w:pStyle w:val="3"/>
        <w:adjustRightInd w:val="0"/>
        <w:spacing w:before="0" w:after="0"/>
        <w:ind w:firstLine="643" w:firstLineChars="200"/>
        <w:rPr>
          <w:rFonts w:ascii="仿宋_GB2312" w:hAnsi="黑体" w:eastAsia="仿宋_GB2312" w:cs="仿宋_GB2312"/>
          <w:bCs w:val="0"/>
          <w:color w:val="000000" w:themeColor="text1"/>
          <w:highlight w:val="none"/>
        </w:rPr>
      </w:pPr>
      <w:bookmarkStart w:id="9" w:name="_Toc7779"/>
      <w:r>
        <w:rPr>
          <w:rFonts w:hint="eastAsia" w:ascii="仿宋_GB2312" w:hAnsi="黑体" w:eastAsia="仿宋_GB2312" w:cs="仿宋_GB2312"/>
          <w:bCs w:val="0"/>
          <w:color w:val="000000" w:themeColor="text1"/>
          <w:highlight w:val="none"/>
        </w:rPr>
        <w:t>五、办公用房购置补贴操作规程</w:t>
      </w:r>
      <w:bookmarkEnd w:id="9"/>
      <w:r>
        <w:rPr>
          <w:rFonts w:hint="eastAsia" w:ascii="仿宋_GB2312" w:hAnsi="黑体" w:eastAsia="仿宋_GB2312" w:cs="仿宋_GB2312"/>
          <w:bCs w:val="0"/>
          <w:color w:val="000000" w:themeColor="text1"/>
          <w:highlight w:val="none"/>
        </w:rPr>
        <w:t xml:space="preserve"> </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（一）政策依据</w:t>
      </w:r>
    </w:p>
    <w:p>
      <w:pPr>
        <w:adjustRightInd w:val="0"/>
        <w:ind w:firstLine="640" w:firstLineChars="200"/>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《宝安区促进专业服务业发展的若干措施》支持</w:t>
      </w:r>
      <w:r>
        <w:rPr>
          <w:rFonts w:ascii="仿宋_GB2312" w:hAnsi="微软雅黑" w:eastAsia="仿宋_GB2312" w:cs="宋体"/>
          <w:color w:val="000000"/>
          <w:kern w:val="0"/>
          <w:sz w:val="32"/>
          <w:szCs w:val="32"/>
          <w:highlight w:val="none"/>
        </w:rPr>
        <w:t>措施</w:t>
      </w:r>
      <w:r>
        <w:rPr>
          <w:rFonts w:hint="eastAsia" w:ascii="仿宋_GB2312" w:hAnsi="微软雅黑" w:eastAsia="仿宋_GB2312" w:cs="宋体"/>
          <w:color w:val="000000"/>
          <w:kern w:val="0"/>
          <w:sz w:val="32"/>
          <w:szCs w:val="32"/>
          <w:highlight w:val="none"/>
        </w:rPr>
        <w:t>第（五）项：“</w:t>
      </w:r>
      <w:r>
        <w:rPr>
          <w:rFonts w:hint="eastAsia" w:ascii="仿宋_GB2312" w:hAnsi="仿宋_GB2312" w:eastAsia="仿宋_GB2312" w:cs="仿宋_GB2312"/>
          <w:sz w:val="32"/>
          <w:szCs w:val="32"/>
          <w:highlight w:val="none"/>
        </w:rPr>
        <w:t>对优质</w:t>
      </w:r>
      <w:r>
        <w:rPr>
          <w:rFonts w:ascii="仿宋_GB2312" w:hAnsi="仿宋_GB2312" w:eastAsia="仿宋_GB2312" w:cs="仿宋_GB2312"/>
          <w:sz w:val="32"/>
          <w:szCs w:val="32"/>
          <w:highlight w:val="none"/>
        </w:rPr>
        <w:t>企业</w:t>
      </w:r>
      <w:r>
        <w:rPr>
          <w:rFonts w:hint="eastAsia" w:ascii="仿宋_GB2312" w:hAnsi="仿宋_GB2312" w:eastAsia="仿宋_GB2312" w:cs="仿宋_GB2312"/>
          <w:sz w:val="32"/>
          <w:szCs w:val="32"/>
          <w:highlight w:val="none"/>
        </w:rPr>
        <w:t>上年度在</w:t>
      </w:r>
      <w:r>
        <w:rPr>
          <w:rFonts w:ascii="仿宋_GB2312" w:hAnsi="仿宋_GB2312" w:eastAsia="仿宋_GB2312" w:cs="仿宋_GB2312"/>
          <w:sz w:val="32"/>
          <w:szCs w:val="32"/>
          <w:highlight w:val="none"/>
        </w:rPr>
        <w:t>宝安区购置自用办公用房</w:t>
      </w:r>
      <w:r>
        <w:rPr>
          <w:rFonts w:hint="eastAsia" w:ascii="仿宋_GB2312" w:hAnsi="仿宋_GB2312" w:eastAsia="仿宋_GB2312" w:cs="仿宋_GB2312"/>
          <w:sz w:val="32"/>
          <w:szCs w:val="32"/>
          <w:highlight w:val="none"/>
        </w:rPr>
        <w:t>（不含</w:t>
      </w:r>
      <w:r>
        <w:rPr>
          <w:rFonts w:ascii="仿宋_GB2312" w:hAnsi="仿宋_GB2312" w:eastAsia="仿宋_GB2312" w:cs="仿宋_GB2312"/>
          <w:sz w:val="32"/>
          <w:szCs w:val="32"/>
          <w:highlight w:val="none"/>
        </w:rPr>
        <w:t>附属及配套用房</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rPr>
        <w:t>实际</w:t>
      </w:r>
      <w:r>
        <w:rPr>
          <w:rFonts w:ascii="仿宋_GB2312" w:hAnsi="仿宋_GB2312" w:eastAsia="仿宋_GB2312" w:cs="仿宋_GB2312"/>
          <w:sz w:val="32"/>
          <w:szCs w:val="32"/>
          <w:highlight w:val="none"/>
        </w:rPr>
        <w:t>购房价格的</w:t>
      </w:r>
      <w:r>
        <w:rPr>
          <w:rFonts w:hint="eastAsia" w:ascii="仿宋_GB2312" w:hAnsi="仿宋_GB2312" w:eastAsia="仿宋_GB2312" w:cs="仿宋_GB2312"/>
          <w:sz w:val="32"/>
          <w:szCs w:val="32"/>
          <w:highlight w:val="none"/>
        </w:rPr>
        <w:t>10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，予以总额最高</w:t>
      </w:r>
      <w:r>
        <w:rPr>
          <w:rFonts w:ascii="仿宋_GB2312" w:hAnsi="仿宋_GB2312" w:eastAsia="仿宋_GB2312" w:cs="仿宋_GB2312"/>
          <w:sz w:val="32"/>
          <w:szCs w:val="32"/>
          <w:highlight w:val="none"/>
        </w:rPr>
        <w:t>不超过</w:t>
      </w:r>
      <w:r>
        <w:rPr>
          <w:rFonts w:hint="eastAsia" w:ascii="仿宋_GB2312" w:hAnsi="仿宋_GB2312" w:eastAsia="仿宋_GB2312" w:cs="仿宋_GB2312"/>
          <w:sz w:val="32"/>
          <w:szCs w:val="32"/>
          <w:highlight w:val="none"/>
        </w:rPr>
        <w:t>10</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0万元</w:t>
      </w:r>
      <w:r>
        <w:rPr>
          <w:rFonts w:ascii="仿宋_GB2312" w:hAnsi="仿宋_GB2312" w:eastAsia="仿宋_GB2312" w:cs="仿宋_GB2312"/>
          <w:sz w:val="32"/>
          <w:szCs w:val="32"/>
          <w:highlight w:val="none"/>
        </w:rPr>
        <w:t>的购置补贴</w:t>
      </w:r>
      <w:r>
        <w:rPr>
          <w:rFonts w:hint="eastAsia" w:ascii="仿宋_GB2312" w:hAnsi="仿宋_GB2312" w:eastAsia="仿宋_GB2312" w:cs="仿宋_GB2312"/>
          <w:sz w:val="32"/>
          <w:szCs w:val="32"/>
          <w:highlight w:val="none"/>
        </w:rPr>
        <w:t>。享受</w:t>
      </w:r>
      <w:r>
        <w:rPr>
          <w:rFonts w:ascii="仿宋_GB2312" w:hAnsi="仿宋_GB2312" w:eastAsia="仿宋_GB2312" w:cs="仿宋_GB2312"/>
          <w:sz w:val="32"/>
          <w:szCs w:val="32"/>
          <w:highlight w:val="none"/>
        </w:rPr>
        <w:t>购置补贴的房屋，</w:t>
      </w:r>
      <w:r>
        <w:rPr>
          <w:rFonts w:hint="eastAsia" w:ascii="仿宋_GB2312" w:hAnsi="仿宋_GB2312" w:eastAsia="仿宋_GB2312" w:cs="仿宋_GB2312"/>
          <w:sz w:val="32"/>
          <w:szCs w:val="32"/>
          <w:highlight w:val="none"/>
        </w:rPr>
        <w:t>5年内</w:t>
      </w:r>
      <w:r>
        <w:rPr>
          <w:rFonts w:ascii="仿宋_GB2312" w:hAnsi="仿宋_GB2312" w:eastAsia="仿宋_GB2312" w:cs="仿宋_GB2312"/>
          <w:sz w:val="32"/>
          <w:szCs w:val="32"/>
          <w:highlight w:val="none"/>
        </w:rPr>
        <w:t>不得租售</w:t>
      </w:r>
      <w:r>
        <w:rPr>
          <w:rFonts w:hint="eastAsia" w:ascii="仿宋_GB2312" w:hAnsi="仿宋_GB2312" w:eastAsia="仿宋_GB2312" w:cs="仿宋_GB2312"/>
          <w:sz w:val="32"/>
          <w:szCs w:val="32"/>
          <w:highlight w:val="none"/>
        </w:rPr>
        <w:t>；企业享受本购置补贴的，规定</w:t>
      </w:r>
      <w:r>
        <w:rPr>
          <w:rFonts w:ascii="仿宋_GB2312" w:hAnsi="仿宋_GB2312" w:eastAsia="仿宋_GB2312" w:cs="仿宋_GB2312"/>
          <w:sz w:val="32"/>
          <w:szCs w:val="32"/>
          <w:highlight w:val="none"/>
        </w:rPr>
        <w:t>时限内不得外迁</w:t>
      </w:r>
      <w:r>
        <w:rPr>
          <w:rFonts w:hint="eastAsia" w:ascii="仿宋_GB2312" w:hAnsi="仿宋_GB2312" w:eastAsia="仿宋_GB2312" w:cs="仿宋_GB2312"/>
          <w:sz w:val="32"/>
          <w:szCs w:val="32"/>
          <w:highlight w:val="none"/>
        </w:rPr>
        <w:t>。</w:t>
      </w:r>
      <w:r>
        <w:rPr>
          <w:rFonts w:hint="eastAsia" w:ascii="仿宋_GB2312" w:hAnsi="微软雅黑" w:eastAsia="仿宋_GB2312" w:cs="宋体"/>
          <w:color w:val="000000"/>
          <w:kern w:val="0"/>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《宝安区促进专业服务业发展的若干措施》附则</w:t>
      </w:r>
      <w:r>
        <w:rPr>
          <w:rFonts w:ascii="仿宋_GB2312" w:hAnsi="微软雅黑" w:eastAsia="仿宋_GB2312" w:cs="宋体"/>
          <w:color w:val="000000"/>
          <w:kern w:val="0"/>
          <w:sz w:val="32"/>
          <w:szCs w:val="32"/>
          <w:highlight w:val="none"/>
        </w:rPr>
        <w:t>：</w:t>
      </w:r>
      <w:r>
        <w:rPr>
          <w:rFonts w:hint="eastAsia" w:ascii="仿宋_GB2312" w:hAnsi="微软雅黑" w:eastAsia="仿宋_GB2312" w:cs="宋体"/>
          <w:color w:val="000000"/>
          <w:kern w:val="0"/>
          <w:sz w:val="32"/>
          <w:szCs w:val="32"/>
          <w:highlight w:val="none"/>
        </w:rPr>
        <w:t>“</w:t>
      </w:r>
      <w:r>
        <w:rPr>
          <w:rFonts w:hint="eastAsia" w:ascii="仿宋_GB2312" w:hAnsi="仿宋_GB2312" w:eastAsia="仿宋_GB2312" w:cs="仿宋_GB2312"/>
          <w:color w:val="000000" w:themeColor="text1"/>
          <w:sz w:val="32"/>
          <w:szCs w:val="32"/>
          <w:highlight w:val="none"/>
        </w:rPr>
        <w:t>享受</w:t>
      </w:r>
      <w:r>
        <w:rPr>
          <w:rFonts w:ascii="仿宋_GB2312" w:hAnsi="仿宋_GB2312" w:eastAsia="仿宋_GB2312" w:cs="仿宋_GB2312"/>
          <w:color w:val="000000" w:themeColor="text1"/>
          <w:sz w:val="32"/>
          <w:szCs w:val="32"/>
          <w:highlight w:val="none"/>
        </w:rPr>
        <w:t>本措施第</w:t>
      </w:r>
      <w:r>
        <w:rPr>
          <w:rFonts w:hint="eastAsia" w:ascii="仿宋_GB2312" w:hAnsi="仿宋_GB2312" w:eastAsia="仿宋_GB2312" w:cs="仿宋_GB2312"/>
          <w:color w:val="000000" w:themeColor="text1"/>
          <w:sz w:val="32"/>
          <w:szCs w:val="32"/>
          <w:highlight w:val="none"/>
        </w:rPr>
        <w:t>（五）项</w:t>
      </w:r>
      <w:r>
        <w:rPr>
          <w:rFonts w:ascii="仿宋_GB2312" w:hAnsi="仿宋_GB2312" w:eastAsia="仿宋_GB2312" w:cs="仿宋_GB2312"/>
          <w:color w:val="000000" w:themeColor="text1"/>
          <w:sz w:val="32"/>
          <w:szCs w:val="32"/>
          <w:highlight w:val="none"/>
        </w:rPr>
        <w:t>、</w:t>
      </w:r>
      <w:r>
        <w:rPr>
          <w:rFonts w:hint="eastAsia" w:ascii="仿宋_GB2312" w:hAnsi="仿宋_GB2312" w:eastAsia="仿宋_GB2312" w:cs="仿宋_GB2312"/>
          <w:color w:val="000000" w:themeColor="text1"/>
          <w:sz w:val="32"/>
          <w:szCs w:val="32"/>
          <w:highlight w:val="none"/>
        </w:rPr>
        <w:t>第（六）</w:t>
      </w:r>
      <w:r>
        <w:rPr>
          <w:rFonts w:ascii="仿宋_GB2312" w:hAnsi="仿宋_GB2312" w:eastAsia="仿宋_GB2312" w:cs="仿宋_GB2312"/>
          <w:color w:val="000000" w:themeColor="text1"/>
          <w:sz w:val="32"/>
          <w:szCs w:val="32"/>
          <w:highlight w:val="none"/>
        </w:rPr>
        <w:t>项</w:t>
      </w:r>
      <w:r>
        <w:rPr>
          <w:rFonts w:hint="eastAsia" w:ascii="仿宋_GB2312" w:hAnsi="仿宋_GB2312" w:eastAsia="仿宋_GB2312" w:cs="仿宋_GB2312"/>
          <w:color w:val="000000" w:themeColor="text1"/>
          <w:sz w:val="32"/>
          <w:szCs w:val="32"/>
          <w:highlight w:val="none"/>
        </w:rPr>
        <w:t>支持</w:t>
      </w:r>
      <w:r>
        <w:rPr>
          <w:rFonts w:ascii="仿宋_GB2312" w:hAnsi="仿宋_GB2312" w:eastAsia="仿宋_GB2312" w:cs="仿宋_GB2312"/>
          <w:color w:val="000000" w:themeColor="text1"/>
          <w:sz w:val="32"/>
          <w:szCs w:val="32"/>
          <w:highlight w:val="none"/>
        </w:rPr>
        <w:t>措施的企业须与宝安区签订产业发展监管协议。</w:t>
      </w:r>
      <w:r>
        <w:rPr>
          <w:rFonts w:hint="eastAsia" w:ascii="仿宋_GB2312" w:hAnsi="微软雅黑" w:eastAsia="仿宋_GB2312" w:cs="宋体"/>
          <w:color w:val="000000"/>
          <w:kern w:val="0"/>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（二）补贴条件</w:t>
      </w:r>
    </w:p>
    <w:p>
      <w:pPr>
        <w:widowControl/>
        <w:shd w:val="clear" w:color="auto" w:fill="FFFFFF"/>
        <w:adjustRightInd w:val="0"/>
        <w:spacing w:line="450" w:lineRule="atLeast"/>
        <w:ind w:firstLine="640" w:firstLineChars="200"/>
        <w:jc w:val="left"/>
        <w:rPr>
          <w:rFonts w:ascii="仿宋_GB2312" w:hAnsi="仿宋_GB2312" w:eastAsia="仿宋_GB2312" w:cs="仿宋_GB2312"/>
          <w:sz w:val="32"/>
          <w:szCs w:val="32"/>
          <w:highlight w:val="none"/>
        </w:rPr>
      </w:pPr>
      <w:r>
        <w:rPr>
          <w:rFonts w:hint="eastAsia" w:ascii="仿宋_GB2312" w:hAnsi="微软雅黑" w:eastAsia="仿宋_GB2312" w:cs="宋体"/>
          <w:color w:val="000000"/>
          <w:kern w:val="0"/>
          <w:sz w:val="32"/>
          <w:szCs w:val="32"/>
          <w:highlight w:val="none"/>
        </w:rPr>
        <w:t>1、申报主体是符合支持</w:t>
      </w:r>
      <w:r>
        <w:rPr>
          <w:rFonts w:hint="eastAsia" w:ascii="仿宋_GB2312" w:hAnsi="微软雅黑" w:eastAsia="仿宋_GB2312" w:cs="宋体"/>
          <w:kern w:val="0"/>
          <w:sz w:val="32"/>
          <w:szCs w:val="32"/>
          <w:highlight w:val="none"/>
        </w:rPr>
        <w:t>本规程第二章规定</w:t>
      </w:r>
      <w:r>
        <w:rPr>
          <w:rFonts w:ascii="仿宋_GB2312" w:hAnsi="微软雅黑" w:eastAsia="仿宋_GB2312" w:cs="宋体"/>
          <w:color w:val="000000"/>
          <w:kern w:val="0"/>
          <w:sz w:val="32"/>
          <w:szCs w:val="32"/>
          <w:highlight w:val="none"/>
        </w:rPr>
        <w:t>条件的优质企业</w:t>
      </w:r>
      <w:r>
        <w:rPr>
          <w:rFonts w:hint="eastAsia" w:ascii="仿宋_GB2312" w:hAnsi="仿宋_GB2312" w:eastAsia="仿宋_GB2312" w:cs="仿宋_GB2312"/>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仿宋_GB2312" w:eastAsia="仿宋_GB2312" w:cs="仿宋_GB2312"/>
          <w:sz w:val="32"/>
          <w:szCs w:val="32"/>
          <w:highlight w:val="none"/>
        </w:rPr>
        <w:t>2、申报主体在宝安区购置办公用房并实际经营。</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（三）补贴标准</w:t>
      </w:r>
    </w:p>
    <w:p>
      <w:pPr>
        <w:widowControl/>
        <w:shd w:val="clear" w:color="auto" w:fill="FFFFFF"/>
        <w:adjustRightInd w:val="0"/>
        <w:spacing w:line="450" w:lineRule="atLeast"/>
        <w:ind w:firstLine="640" w:firstLineChars="200"/>
        <w:jc w:val="left"/>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rPr>
        <w:t>实际</w:t>
      </w:r>
      <w:r>
        <w:rPr>
          <w:rFonts w:ascii="仿宋_GB2312" w:hAnsi="仿宋_GB2312" w:eastAsia="仿宋_GB2312" w:cs="仿宋_GB2312"/>
          <w:sz w:val="32"/>
          <w:szCs w:val="32"/>
          <w:highlight w:val="none"/>
        </w:rPr>
        <w:t>购房价格的</w:t>
      </w:r>
      <w:r>
        <w:rPr>
          <w:rFonts w:hint="eastAsia" w:ascii="仿宋_GB2312" w:hAnsi="仿宋_GB2312" w:eastAsia="仿宋_GB2312" w:cs="仿宋_GB2312"/>
          <w:sz w:val="32"/>
          <w:szCs w:val="32"/>
          <w:highlight w:val="none"/>
        </w:rPr>
        <w:t>10</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，予以总额最高</w:t>
      </w:r>
      <w:r>
        <w:rPr>
          <w:rFonts w:ascii="仿宋_GB2312" w:hAnsi="仿宋_GB2312" w:eastAsia="仿宋_GB2312" w:cs="仿宋_GB2312"/>
          <w:sz w:val="32"/>
          <w:szCs w:val="32"/>
          <w:highlight w:val="none"/>
        </w:rPr>
        <w:t>不超过</w:t>
      </w:r>
      <w:r>
        <w:rPr>
          <w:rFonts w:hint="eastAsia" w:ascii="仿宋_GB2312" w:hAnsi="仿宋_GB2312" w:eastAsia="仿宋_GB2312" w:cs="仿宋_GB2312"/>
          <w:sz w:val="32"/>
          <w:szCs w:val="32"/>
          <w:highlight w:val="none"/>
        </w:rPr>
        <w:t>10</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0万元</w:t>
      </w:r>
      <w:r>
        <w:rPr>
          <w:rFonts w:ascii="仿宋_GB2312" w:hAnsi="仿宋_GB2312" w:eastAsia="仿宋_GB2312" w:cs="仿宋_GB2312"/>
          <w:sz w:val="32"/>
          <w:szCs w:val="32"/>
          <w:highlight w:val="none"/>
        </w:rPr>
        <w:t>的购置补贴</w:t>
      </w:r>
      <w:r>
        <w:rPr>
          <w:rFonts w:hint="eastAsia" w:ascii="仿宋_GB2312" w:hAnsi="仿宋_GB2312" w:eastAsia="仿宋_GB2312" w:cs="仿宋_GB2312"/>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（四）申请材料</w:t>
      </w:r>
    </w:p>
    <w:p>
      <w:pPr>
        <w:pStyle w:val="33"/>
        <w:widowControl/>
        <w:adjustRightInd w:val="0"/>
        <w:spacing w:line="450" w:lineRule="atLeast"/>
        <w:ind w:firstLine="640"/>
        <w:rPr>
          <w:rFonts w:ascii="仿宋_GB2312" w:hAnsi="微软雅黑" w:eastAsia="仿宋_GB2312" w:cs="宋体"/>
          <w:kern w:val="0"/>
          <w:sz w:val="32"/>
          <w:szCs w:val="32"/>
          <w:highlight w:val="none"/>
          <w:lang w:bidi="mn-Mong-CN"/>
        </w:rPr>
      </w:pPr>
      <w:r>
        <w:rPr>
          <w:rFonts w:hint="eastAsia" w:ascii="仿宋_GB2312" w:hAnsi="微软雅黑" w:eastAsia="仿宋_GB2312" w:cs="宋体"/>
          <w:color w:val="000000"/>
          <w:kern w:val="0"/>
          <w:sz w:val="32"/>
          <w:szCs w:val="32"/>
          <w:highlight w:val="none"/>
        </w:rPr>
        <w:t>1</w:t>
      </w:r>
      <w:r>
        <w:rPr>
          <w:rFonts w:hint="eastAsia" w:ascii="仿宋_GB2312" w:hAnsi="微软雅黑" w:eastAsia="仿宋_GB2312" w:cs="宋体"/>
          <w:kern w:val="0"/>
          <w:sz w:val="32"/>
          <w:szCs w:val="32"/>
          <w:highlight w:val="none"/>
        </w:rPr>
        <w:t>、</w:t>
      </w:r>
      <w:r>
        <w:rPr>
          <w:rFonts w:hint="eastAsia" w:ascii="仿宋_GB2312" w:hAnsi="微软雅黑" w:eastAsia="仿宋_GB2312" w:cs="宋体"/>
          <w:kern w:val="0"/>
          <w:sz w:val="32"/>
          <w:szCs w:val="32"/>
          <w:highlight w:val="none"/>
          <w:lang w:bidi="mn-Mong-CN"/>
        </w:rPr>
        <w:t>优质企业证明材料（</w:t>
      </w:r>
      <w:r>
        <w:rPr>
          <w:rFonts w:hint="eastAsia" w:ascii="仿宋_GB2312" w:hAnsi="微软雅黑" w:eastAsia="仿宋_GB2312" w:cs="宋体"/>
          <w:kern w:val="0"/>
          <w:sz w:val="32"/>
          <w:szCs w:val="32"/>
          <w:highlight w:val="none"/>
        </w:rPr>
        <w:t>上年度审计</w:t>
      </w:r>
      <w:r>
        <w:rPr>
          <w:rFonts w:ascii="仿宋_GB2312" w:hAnsi="微软雅黑" w:eastAsia="仿宋_GB2312" w:cs="宋体"/>
          <w:kern w:val="0"/>
          <w:sz w:val="32"/>
          <w:szCs w:val="32"/>
          <w:highlight w:val="none"/>
        </w:rPr>
        <w:t>报告</w:t>
      </w:r>
      <w:r>
        <w:rPr>
          <w:rFonts w:hint="eastAsia" w:ascii="仿宋_GB2312" w:hAnsi="微软雅黑" w:eastAsia="仿宋_GB2312" w:cs="宋体"/>
          <w:kern w:val="0"/>
          <w:sz w:val="32"/>
          <w:szCs w:val="32"/>
          <w:highlight w:val="none"/>
          <w:lang w:bidi="mn-Mong-CN"/>
        </w:rPr>
        <w:t>、上年度营业收入统计数据（通过国家统计联网直报平台打印，需为带水印的pdf文件）或</w:t>
      </w:r>
      <w:r>
        <w:rPr>
          <w:rFonts w:hint="eastAsia" w:ascii="仿宋_GB2312" w:hAnsi="微软雅黑" w:eastAsia="仿宋_GB2312" w:cs="宋体"/>
          <w:kern w:val="0"/>
          <w:sz w:val="32"/>
          <w:szCs w:val="32"/>
          <w:highlight w:val="none"/>
        </w:rPr>
        <w:t>上一年度被列入HRoot公司每年度推出的“大中华区人力资源服务品牌100强”的证明材料）</w:t>
      </w:r>
      <w:r>
        <w:rPr>
          <w:rFonts w:hint="eastAsia" w:ascii="仿宋_GB2312" w:hAnsi="微软雅黑" w:eastAsia="仿宋_GB2312" w:cs="宋体"/>
          <w:kern w:val="0"/>
          <w:sz w:val="32"/>
          <w:szCs w:val="32"/>
          <w:highlight w:val="none"/>
          <w:lang w:bidi="mn-Mong-CN"/>
        </w:rPr>
        <w:t>；</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仿宋_GB2312" w:eastAsia="仿宋_GB2312" w:cs="仿宋_GB2312"/>
          <w:sz w:val="32"/>
          <w:szCs w:val="32"/>
          <w:highlight w:val="none"/>
        </w:rPr>
        <w:t>2、申报主体上年度（以购房完税时间为准）在宝安区购置办公用房证明材料（</w:t>
      </w:r>
      <w:r>
        <w:rPr>
          <w:rFonts w:hint="eastAsia" w:ascii="仿宋_GB2312" w:hAnsi="仿宋" w:eastAsia="仿宋_GB2312" w:cs="宋体"/>
          <w:snapToGrid w:val="0"/>
          <w:spacing w:val="4"/>
          <w:kern w:val="0"/>
          <w:sz w:val="32"/>
          <w:szCs w:val="32"/>
          <w:highlight w:val="none"/>
        </w:rPr>
        <w:t>房产证明</w:t>
      </w:r>
      <w:r>
        <w:rPr>
          <w:rFonts w:hint="eastAsia" w:ascii="仿宋_GB2312" w:hAnsi="仿宋_GB2312" w:eastAsia="仿宋_GB2312" w:cs="仿宋_GB2312"/>
          <w:sz w:val="32"/>
          <w:szCs w:val="32"/>
          <w:highlight w:val="none"/>
        </w:rPr>
        <w:t>、购置合同、购置款支付单据、</w:t>
      </w:r>
      <w:r>
        <w:rPr>
          <w:rFonts w:hint="eastAsia" w:ascii="仿宋_GB2312" w:hAnsi="仿宋" w:eastAsia="仿宋_GB2312" w:cs="宋体"/>
          <w:snapToGrid w:val="0"/>
          <w:kern w:val="0"/>
          <w:sz w:val="32"/>
          <w:szCs w:val="32"/>
          <w:highlight w:val="none"/>
        </w:rPr>
        <w:t>加盖公章的银行流水</w:t>
      </w:r>
      <w:r>
        <w:rPr>
          <w:rFonts w:hint="eastAsia" w:ascii="仿宋_GB2312" w:hAnsi="仿宋_GB2312" w:eastAsia="仿宋_GB2312" w:cs="仿宋_GB2312"/>
          <w:sz w:val="32"/>
          <w:szCs w:val="32"/>
          <w:highlight w:val="none"/>
        </w:rPr>
        <w:t>、完税</w:t>
      </w:r>
      <w:r>
        <w:rPr>
          <w:rFonts w:ascii="仿宋_GB2312" w:hAnsi="仿宋_GB2312" w:eastAsia="仿宋_GB2312" w:cs="仿宋_GB2312"/>
          <w:sz w:val="32"/>
          <w:szCs w:val="32"/>
          <w:highlight w:val="none"/>
        </w:rPr>
        <w:t>证明</w:t>
      </w:r>
      <w:r>
        <w:rPr>
          <w:rFonts w:hint="eastAsia" w:ascii="仿宋_GB2312" w:hAnsi="仿宋_GB2312" w:eastAsia="仿宋_GB2312" w:cs="仿宋_GB2312"/>
          <w:sz w:val="32"/>
          <w:szCs w:val="32"/>
          <w:highlight w:val="none"/>
        </w:rPr>
        <w:t>等）。</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（五）受理申报部门：宝安区人力资源局。</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（六）项目审批补充流程：</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1、区税务局核定企业纳税额是否达到优质企业标准；</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kern w:val="0"/>
          <w:sz w:val="32"/>
          <w:szCs w:val="32"/>
          <w:highlight w:val="none"/>
        </w:rPr>
        <w:t>2、区人力资源局需对购置</w:t>
      </w:r>
      <w:r>
        <w:rPr>
          <w:rFonts w:ascii="仿宋_GB2312" w:hAnsi="微软雅黑" w:eastAsia="仿宋_GB2312" w:cs="宋体"/>
          <w:color w:val="000000"/>
          <w:kern w:val="0"/>
          <w:sz w:val="32"/>
          <w:szCs w:val="32"/>
          <w:highlight w:val="none"/>
        </w:rPr>
        <w:t>办公用房进行实地核</w:t>
      </w:r>
      <w:r>
        <w:rPr>
          <w:rFonts w:hint="eastAsia" w:ascii="仿宋_GB2312" w:hAnsi="微软雅黑" w:eastAsia="仿宋_GB2312" w:cs="宋体"/>
          <w:color w:val="000000"/>
          <w:kern w:val="0"/>
          <w:sz w:val="32"/>
          <w:szCs w:val="32"/>
          <w:highlight w:val="none"/>
        </w:rPr>
        <w:t>查。</w:t>
      </w:r>
    </w:p>
    <w:p>
      <w:pPr>
        <w:widowControl/>
        <w:shd w:val="clear" w:color="auto" w:fill="FFFFFF"/>
        <w:adjustRightInd w:val="0"/>
        <w:spacing w:line="450" w:lineRule="atLeast"/>
        <w:jc w:val="left"/>
        <w:rPr>
          <w:rFonts w:ascii="仿宋_GB2312" w:hAnsi="微软雅黑" w:eastAsia="仿宋_GB2312" w:cs="宋体"/>
          <w:color w:val="000000"/>
          <w:kern w:val="0"/>
          <w:sz w:val="32"/>
          <w:szCs w:val="32"/>
          <w:highlight w:val="none"/>
        </w:rPr>
      </w:pPr>
    </w:p>
    <w:p>
      <w:pPr>
        <w:widowControl/>
        <w:jc w:val="left"/>
        <w:rPr>
          <w:rFonts w:cs="仿宋_GB2312" w:asciiTheme="minorEastAsia" w:hAnsiTheme="minorEastAsia"/>
          <w:b/>
          <w:bCs/>
          <w:color w:val="000000" w:themeColor="text1"/>
          <w:kern w:val="36"/>
          <w:sz w:val="36"/>
          <w:szCs w:val="36"/>
          <w:highlight w:val="none"/>
        </w:rPr>
      </w:pPr>
      <w:r>
        <w:rPr>
          <w:rFonts w:cs="仿宋_GB2312" w:asciiTheme="minorEastAsia" w:hAnsiTheme="minorEastAsia"/>
          <w:color w:val="000000" w:themeColor="text1"/>
          <w:sz w:val="36"/>
          <w:szCs w:val="36"/>
          <w:highlight w:val="none"/>
        </w:rPr>
        <w:br w:type="page"/>
      </w:r>
    </w:p>
    <w:p>
      <w:pPr>
        <w:pStyle w:val="2"/>
        <w:adjustRightInd w:val="0"/>
        <w:spacing w:before="0" w:beforeAutospacing="0" w:after="0" w:afterAutospacing="0" w:line="540" w:lineRule="exact"/>
        <w:jc w:val="center"/>
        <w:rPr>
          <w:rFonts w:cs="仿宋_GB2312" w:asciiTheme="minorEastAsia" w:hAnsiTheme="minorEastAsia" w:eastAsiaTheme="minorEastAsia"/>
          <w:color w:val="000000" w:themeColor="text1"/>
          <w:sz w:val="36"/>
          <w:szCs w:val="36"/>
          <w:highlight w:val="none"/>
        </w:rPr>
      </w:pPr>
      <w:bookmarkStart w:id="10" w:name="_Toc11673"/>
      <w:r>
        <w:rPr>
          <w:rFonts w:hint="eastAsia" w:cs="仿宋_GB2312" w:asciiTheme="minorEastAsia" w:hAnsiTheme="minorEastAsia" w:eastAsiaTheme="minorEastAsia"/>
          <w:color w:val="000000" w:themeColor="text1"/>
          <w:sz w:val="36"/>
          <w:szCs w:val="36"/>
          <w:highlight w:val="none"/>
        </w:rPr>
        <w:t>第四章 附则</w:t>
      </w:r>
      <w:bookmarkEnd w:id="10"/>
    </w:p>
    <w:p>
      <w:pPr>
        <w:adjustRightInd w:val="0"/>
        <w:ind w:firstLine="640" w:firstLineChars="200"/>
        <w:rPr>
          <w:rFonts w:ascii="仿宋_GB2312" w:hAnsi="微软雅黑" w:eastAsia="仿宋_GB2312" w:cs="宋体"/>
          <w:color w:val="000000"/>
          <w:kern w:val="0"/>
          <w:sz w:val="32"/>
          <w:szCs w:val="32"/>
          <w:highlight w:val="none"/>
        </w:rPr>
      </w:pPr>
    </w:p>
    <w:p>
      <w:pPr>
        <w:adjustRightInd w:val="0"/>
        <w:ind w:firstLine="640" w:firstLineChars="200"/>
        <w:rPr>
          <w:rFonts w:ascii="仿宋_GB2312" w:hAnsi="仿宋_GB2312" w:eastAsia="仿宋_GB2312" w:cs="仿宋_GB2312"/>
          <w:sz w:val="32"/>
          <w:szCs w:val="32"/>
          <w:highlight w:val="none"/>
        </w:rPr>
      </w:pPr>
      <w:r>
        <w:rPr>
          <w:rFonts w:hint="eastAsia" w:ascii="仿宋_GB2312" w:hAnsi="微软雅黑" w:eastAsia="仿宋_GB2312" w:cs="宋体"/>
          <w:color w:val="000000"/>
          <w:kern w:val="0"/>
          <w:sz w:val="32"/>
          <w:szCs w:val="32"/>
          <w:highlight w:val="none"/>
        </w:rPr>
        <w:t>一、根据《宝安区科技与产业发展专项资金管理办法》和《宝安区关于促进专业服务业发展的若干措施》规定，本操作规程中规定的</w:t>
      </w:r>
      <w:r>
        <w:rPr>
          <w:rFonts w:hint="eastAsia" w:ascii="仿宋_GB2312" w:hAnsi="仿宋_GB2312" w:eastAsia="仿宋_GB2312" w:cs="仿宋_GB2312"/>
          <w:sz w:val="32"/>
          <w:szCs w:val="32"/>
          <w:highlight w:val="none"/>
        </w:rPr>
        <w:t>对同一主体的各类奖励、补贴总额不超过其上年度纳税总额。</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二、本操作规程所称纳税是指申报</w:t>
      </w:r>
      <w:r>
        <w:rPr>
          <w:rFonts w:hint="eastAsia" w:ascii="仿宋_GB2312" w:hAnsi="微软雅黑" w:eastAsia="仿宋_GB2312" w:cs="宋体"/>
          <w:kern w:val="0"/>
          <w:sz w:val="32"/>
          <w:szCs w:val="32"/>
          <w:highlight w:val="none"/>
        </w:rPr>
        <w:t>企业在宝安区税务自缴税款总额+出口货物增值税“免抵”税额调库。宝安区级</w:t>
      </w:r>
      <w:r>
        <w:rPr>
          <w:rFonts w:hint="eastAsia" w:ascii="仿宋_GB2312" w:hAnsi="微软雅黑" w:eastAsia="仿宋_GB2312" w:cs="宋体"/>
          <w:color w:val="000000"/>
          <w:kern w:val="0"/>
          <w:sz w:val="32"/>
          <w:szCs w:val="32"/>
          <w:highlight w:val="none"/>
        </w:rPr>
        <w:t>财政贡献是指前述纳税计入地方分成部分，具体由区税务局核算。人力资源服务业营业收入不含代收代支部分</w:t>
      </w:r>
      <w:r>
        <w:rPr>
          <w:rFonts w:hint="eastAsia" w:ascii="仿宋_GB2312" w:hAnsi="微软雅黑" w:eastAsia="仿宋_GB2312" w:cs="宋体"/>
          <w:color w:val="000000"/>
          <w:kern w:val="0"/>
          <w:sz w:val="32"/>
          <w:szCs w:val="32"/>
          <w:highlight w:val="none"/>
          <w:lang w:eastAsia="zh-CN"/>
        </w:rPr>
        <w:t>，</w:t>
      </w:r>
      <w:r>
        <w:rPr>
          <w:rFonts w:hint="eastAsia" w:ascii="仿宋_GB2312" w:hAnsi="微软雅黑" w:eastAsia="仿宋_GB2312" w:cs="宋体"/>
          <w:color w:val="000000"/>
          <w:kern w:val="0"/>
          <w:sz w:val="32"/>
          <w:szCs w:val="32"/>
          <w:highlight w:val="none"/>
          <w:u w:val="double" w:color="FF0000"/>
          <w:lang w:eastAsia="zh-CN"/>
        </w:rPr>
        <w:t>且人力资源服务营业收入占总营业额</w:t>
      </w:r>
      <w:r>
        <w:rPr>
          <w:rFonts w:hint="eastAsia" w:ascii="仿宋_GB2312" w:hAnsi="微软雅黑" w:eastAsia="仿宋_GB2312" w:cs="宋体"/>
          <w:color w:val="000000"/>
          <w:kern w:val="0"/>
          <w:sz w:val="32"/>
          <w:szCs w:val="32"/>
          <w:highlight w:val="none"/>
          <w:u w:val="double" w:color="FF0000"/>
          <w:lang w:val="en-US" w:eastAsia="zh-CN"/>
        </w:rPr>
        <w:t>50%以上，含50%</w:t>
      </w:r>
      <w:r>
        <w:rPr>
          <w:rFonts w:hint="eastAsia" w:ascii="仿宋_GB2312" w:hAnsi="微软雅黑" w:eastAsia="仿宋_GB2312" w:cs="宋体"/>
          <w:color w:val="000000"/>
          <w:kern w:val="0"/>
          <w:sz w:val="32"/>
          <w:szCs w:val="32"/>
          <w:highlight w:val="none"/>
        </w:rPr>
        <w:t>。</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三、本操作规程所说的上年度指申报公告发布时的上年度。</w:t>
      </w:r>
    </w:p>
    <w:p>
      <w:pPr>
        <w:spacing w:line="560" w:lineRule="exact"/>
        <w:ind w:firstLine="640" w:firstLineChars="200"/>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四、</w:t>
      </w:r>
      <w:r>
        <w:rPr>
          <w:rFonts w:hint="eastAsia" w:ascii="仿宋_GB2312" w:hAnsi="仿宋_GB2312" w:eastAsia="仿宋_GB2312" w:cs="仿宋_GB2312"/>
          <w:sz w:val="32"/>
          <w:szCs w:val="32"/>
          <w:highlight w:val="none"/>
        </w:rPr>
        <w:t>同一主体因同一事由已享受宝安区其他同类扶持政策的，不得重复享受本措施规定的资金扶持政策。</w:t>
      </w:r>
      <w:r>
        <w:rPr>
          <w:rFonts w:hint="eastAsia" w:ascii="仿宋_GB2312" w:hAnsi="仿宋_GB2312" w:eastAsia="仿宋_GB2312" w:cs="仿宋_GB2312"/>
          <w:color w:val="000000" w:themeColor="text1"/>
          <w:sz w:val="32"/>
          <w:szCs w:val="32"/>
          <w:highlight w:val="none"/>
        </w:rPr>
        <w:t>本措施如与上级文件相冲突，按上级文件执行。</w:t>
      </w:r>
    </w:p>
    <w:p>
      <w:pPr>
        <w:ind w:firstLine="640" w:firstLineChars="200"/>
        <w:rPr>
          <w:rFonts w:ascii="仿宋_GB2312" w:hAnsi="仿宋_GB2312" w:eastAsia="仿宋_GB2312" w:cs="仿宋_GB2312"/>
          <w:sz w:val="32"/>
          <w:szCs w:val="32"/>
          <w:highlight w:val="none"/>
        </w:rPr>
      </w:pPr>
      <w:r>
        <w:rPr>
          <w:rFonts w:hint="eastAsia" w:ascii="仿宋_GB2312" w:hAnsi="微软雅黑" w:eastAsia="仿宋_GB2312" w:cs="宋体"/>
          <w:color w:val="000000"/>
          <w:kern w:val="0"/>
          <w:sz w:val="32"/>
          <w:szCs w:val="32"/>
          <w:highlight w:val="none"/>
        </w:rPr>
        <w:t>五</w:t>
      </w:r>
      <w:r>
        <w:rPr>
          <w:rFonts w:ascii="仿宋_GB2312" w:hAnsi="微软雅黑" w:eastAsia="仿宋_GB2312" w:cs="宋体"/>
          <w:color w:val="000000"/>
          <w:kern w:val="0"/>
          <w:sz w:val="32"/>
          <w:szCs w:val="32"/>
          <w:highlight w:val="none"/>
        </w:rPr>
        <w:t>、</w:t>
      </w:r>
      <w:commentRangeStart w:id="9"/>
      <w:r>
        <w:rPr>
          <w:rFonts w:hint="eastAsia" w:ascii="仿宋_GB2312" w:hAnsi="微软雅黑" w:eastAsia="仿宋_GB2312" w:cs="宋体"/>
          <w:color w:val="000000"/>
          <w:kern w:val="0"/>
          <w:sz w:val="32"/>
          <w:szCs w:val="32"/>
          <w:highlight w:val="none"/>
        </w:rPr>
        <w:t>同一主体可同时享受本操作规程各项扶持措施，但</w:t>
      </w:r>
      <w:r>
        <w:rPr>
          <w:rFonts w:hint="eastAsia" w:ascii="仿宋_GB2312" w:hAnsi="仿宋_GB2312" w:eastAsia="仿宋_GB2312" w:cs="仿宋_GB2312"/>
          <w:sz w:val="32"/>
          <w:szCs w:val="32"/>
          <w:highlight w:val="none"/>
        </w:rPr>
        <w:t>第（四）项、第（五）项规定的支持措施不得同时享受。</w:t>
      </w:r>
      <w:commentRangeEnd w:id="9"/>
      <w:r>
        <w:rPr>
          <w:highlight w:val="none"/>
        </w:rPr>
        <w:commentReference w:id="9"/>
      </w:r>
    </w:p>
    <w:p>
      <w:pPr>
        <w:ind w:firstLine="640" w:firstLineChars="200"/>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六、申报单位应如实申报、提交材料，并自觉接受区行业主管部门、财政、审计等部门的监督检查，配合有关部门监督检查工作。</w:t>
      </w:r>
    </w:p>
    <w:p>
      <w:pPr>
        <w:widowControl/>
        <w:shd w:val="clear" w:color="auto" w:fill="FFFFFF"/>
        <w:adjustRightInd w:val="0"/>
        <w:spacing w:line="450" w:lineRule="atLeast"/>
        <w:ind w:firstLine="640" w:firstLineChars="200"/>
        <w:jc w:val="left"/>
        <w:rPr>
          <w:rFonts w:ascii="仿宋_GB2312" w:hAnsi="微软雅黑" w:eastAsia="仿宋_GB2312" w:cs="宋体"/>
          <w:kern w:val="0"/>
          <w:sz w:val="32"/>
          <w:szCs w:val="32"/>
          <w:highlight w:val="none"/>
        </w:rPr>
      </w:pPr>
      <w:r>
        <w:rPr>
          <w:rFonts w:hint="eastAsia" w:ascii="仿宋_GB2312" w:hAnsi="微软雅黑" w:eastAsia="仿宋_GB2312" w:cs="宋体"/>
          <w:color w:val="000000"/>
          <w:kern w:val="0"/>
          <w:sz w:val="32"/>
          <w:szCs w:val="32"/>
          <w:highlight w:val="none"/>
        </w:rPr>
        <w:t>七、本操作规</w:t>
      </w:r>
      <w:r>
        <w:rPr>
          <w:rFonts w:hint="eastAsia" w:ascii="仿宋_GB2312" w:hAnsi="微软雅黑" w:eastAsia="仿宋_GB2312" w:cs="宋体"/>
          <w:kern w:val="0"/>
          <w:sz w:val="32"/>
          <w:szCs w:val="32"/>
          <w:highlight w:val="none"/>
        </w:rPr>
        <w:t>程由区人力资源局解释。</w:t>
      </w:r>
    </w:p>
    <w:p>
      <w:pPr>
        <w:widowControl/>
        <w:shd w:val="clear" w:color="auto" w:fill="FFFFFF"/>
        <w:adjustRightInd w:val="0"/>
        <w:spacing w:line="450" w:lineRule="atLeast"/>
        <w:ind w:firstLine="640" w:firstLineChars="20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t>八、本操作规程自公布之日开始施行，有效期与《宝安区关于促进专业服务业发展的若干措施》一致。</w:t>
      </w:r>
    </w:p>
    <w:p>
      <w:pPr>
        <w:adjustRightInd w:val="0"/>
        <w:jc w:val="left"/>
        <w:rPr>
          <w:rFonts w:ascii="仿宋_GB2312" w:hAnsi="微软雅黑" w:eastAsia="仿宋_GB2312" w:cs="宋体"/>
          <w:color w:val="000000"/>
          <w:kern w:val="0"/>
          <w:sz w:val="32"/>
          <w:szCs w:val="32"/>
          <w:highlight w:val="none"/>
        </w:rPr>
      </w:pPr>
      <w:r>
        <w:rPr>
          <w:rFonts w:hint="eastAsia" w:ascii="仿宋_GB2312" w:hAnsi="微软雅黑" w:eastAsia="仿宋_GB2312" w:cs="宋体"/>
          <w:color w:val="000000"/>
          <w:kern w:val="0"/>
          <w:sz w:val="32"/>
          <w:szCs w:val="32"/>
          <w:highlight w:val="none"/>
        </w:rPr>
        <w:br w:type="page"/>
      </w:r>
    </w:p>
    <w:p>
      <w:pPr>
        <w:pStyle w:val="2"/>
        <w:ind w:firstLine="2409" w:firstLineChars="500"/>
        <w:rPr>
          <w:highlight w:val="none"/>
        </w:rPr>
      </w:pPr>
      <w:bookmarkStart w:id="11" w:name="_Toc12966"/>
      <w:r>
        <w:rPr>
          <w:rFonts w:hint="eastAsia"/>
          <w:highlight w:val="none"/>
        </w:rPr>
        <w:t>第五章 申请表格</w:t>
      </w:r>
      <w:bookmarkEnd w:id="11"/>
    </w:p>
    <w:p>
      <w:pPr>
        <w:adjustRightInd w:val="0"/>
        <w:jc w:val="left"/>
        <w:rPr>
          <w:rFonts w:ascii="仿宋_GB2312" w:hAnsi="微软雅黑" w:eastAsia="仿宋_GB2312" w:cs="宋体"/>
          <w:kern w:val="0"/>
          <w:sz w:val="32"/>
          <w:szCs w:val="32"/>
          <w:highlight w:val="none"/>
        </w:rPr>
      </w:pPr>
      <w:r>
        <w:rPr>
          <w:rFonts w:hint="eastAsia" w:ascii="黑体" w:hAnsi="黑体" w:eastAsia="黑体" w:cs="黑体"/>
          <w:highlight w:val="none"/>
        </w:rPr>
        <w:t xml:space="preserve">表1 </w:t>
      </w:r>
    </w:p>
    <w:p>
      <w:pPr>
        <w:pStyle w:val="2"/>
        <w:adjustRightInd w:val="0"/>
        <w:spacing w:before="0" w:beforeAutospacing="0" w:after="0" w:afterAutospacing="0" w:line="540" w:lineRule="exact"/>
        <w:jc w:val="center"/>
        <w:rPr>
          <w:rFonts w:cs="仿宋_GB2312" w:asciiTheme="minorEastAsia" w:hAnsiTheme="minorEastAsia" w:eastAsiaTheme="minorEastAsia"/>
          <w:color w:val="000000" w:themeColor="text1"/>
          <w:sz w:val="36"/>
          <w:szCs w:val="36"/>
          <w:highlight w:val="none"/>
        </w:rPr>
      </w:pPr>
      <w:bookmarkStart w:id="12" w:name="_Toc23270"/>
      <w:r>
        <w:rPr>
          <w:rFonts w:hint="eastAsia" w:cs="仿宋_GB2312" w:asciiTheme="minorEastAsia" w:hAnsiTheme="minorEastAsia" w:eastAsiaTheme="minorEastAsia"/>
          <w:sz w:val="36"/>
          <w:szCs w:val="36"/>
          <w:highlight w:val="none"/>
        </w:rPr>
        <w:t>宝安区人力资源服务业资金</w:t>
      </w:r>
      <w:r>
        <w:rPr>
          <w:rFonts w:cs="仿宋_GB2312" w:asciiTheme="minorEastAsia" w:hAnsiTheme="minorEastAsia" w:eastAsiaTheme="minorEastAsia"/>
          <w:color w:val="000000" w:themeColor="text1"/>
          <w:sz w:val="36"/>
          <w:szCs w:val="36"/>
          <w:highlight w:val="none"/>
        </w:rPr>
        <w:t>扶持</w:t>
      </w:r>
      <w:r>
        <w:rPr>
          <w:rFonts w:hint="eastAsia" w:cs="仿宋_GB2312" w:asciiTheme="minorEastAsia" w:hAnsiTheme="minorEastAsia" w:eastAsiaTheme="minorEastAsia"/>
          <w:color w:val="000000" w:themeColor="text1"/>
          <w:sz w:val="36"/>
          <w:szCs w:val="36"/>
          <w:highlight w:val="none"/>
        </w:rPr>
        <w:t>项目申请表</w:t>
      </w:r>
      <w:bookmarkEnd w:id="12"/>
    </w:p>
    <w:p>
      <w:pPr>
        <w:spacing w:afterLines="20"/>
        <w:rPr>
          <w:rFonts w:ascii="楷体_GB2312" w:eastAsia="楷体_GB2312"/>
          <w:sz w:val="28"/>
          <w:highlight w:val="none"/>
        </w:rPr>
      </w:pPr>
      <w:r>
        <w:rPr>
          <w:rFonts w:hint="eastAsia" w:ascii="楷体_GB2312" w:eastAsia="楷体_GB2312"/>
          <w:sz w:val="28"/>
          <w:highlight w:val="none"/>
        </w:rPr>
        <w:t>申请单位:（盖章）                  填表日期：     年    月    日</w:t>
      </w:r>
    </w:p>
    <w:tbl>
      <w:tblPr>
        <w:tblStyle w:val="15"/>
        <w:tblW w:w="905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28" w:type="dxa"/>
          <w:left w:w="28" w:type="dxa"/>
          <w:bottom w:w="28" w:type="dxa"/>
          <w:right w:w="28" w:type="dxa"/>
        </w:tblCellMar>
      </w:tblPr>
      <w:tblGrid>
        <w:gridCol w:w="634"/>
        <w:gridCol w:w="1489"/>
        <w:gridCol w:w="1103"/>
        <w:gridCol w:w="1110"/>
        <w:gridCol w:w="263"/>
        <w:gridCol w:w="213"/>
        <w:gridCol w:w="660"/>
        <w:gridCol w:w="801"/>
        <w:gridCol w:w="479"/>
        <w:gridCol w:w="23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28" w:type="dxa"/>
            <w:left w:w="28" w:type="dxa"/>
            <w:bottom w:w="28" w:type="dxa"/>
            <w:right w:w="28" w:type="dxa"/>
          </w:tblCellMar>
        </w:tblPrEx>
        <w:trPr>
          <w:cantSplit/>
          <w:trHeight w:val="521" w:hRule="atLeast"/>
          <w:jc w:val="center"/>
        </w:trPr>
        <w:tc>
          <w:tcPr>
            <w:tcW w:w="634" w:type="dxa"/>
            <w:vMerge w:val="restart"/>
            <w:shd w:val="clear" w:color="auto" w:fill="FFFFFF"/>
            <w:vAlign w:val="center"/>
          </w:tcPr>
          <w:p>
            <w:pPr>
              <w:spacing w:line="280" w:lineRule="exact"/>
              <w:jc w:val="center"/>
              <w:rPr>
                <w:sz w:val="24"/>
                <w:szCs w:val="24"/>
                <w:highlight w:val="none"/>
              </w:rPr>
            </w:pPr>
            <w:r>
              <w:rPr>
                <w:rFonts w:hint="eastAsia"/>
                <w:sz w:val="24"/>
                <w:szCs w:val="24"/>
                <w:highlight w:val="none"/>
              </w:rPr>
              <w:t>单位</w:t>
            </w:r>
          </w:p>
          <w:p>
            <w:pPr>
              <w:spacing w:line="280" w:lineRule="exact"/>
              <w:jc w:val="center"/>
              <w:rPr>
                <w:sz w:val="24"/>
                <w:szCs w:val="24"/>
                <w:highlight w:val="none"/>
              </w:rPr>
            </w:pPr>
            <w:r>
              <w:rPr>
                <w:rFonts w:hint="eastAsia"/>
                <w:sz w:val="24"/>
                <w:szCs w:val="24"/>
                <w:highlight w:val="none"/>
              </w:rPr>
              <w:t>基本</w:t>
            </w:r>
          </w:p>
          <w:p>
            <w:pPr>
              <w:spacing w:line="280" w:lineRule="exact"/>
              <w:jc w:val="center"/>
              <w:rPr>
                <w:sz w:val="24"/>
                <w:szCs w:val="24"/>
                <w:highlight w:val="none"/>
              </w:rPr>
            </w:pPr>
            <w:r>
              <w:rPr>
                <w:rFonts w:hint="eastAsia"/>
                <w:sz w:val="24"/>
                <w:szCs w:val="24"/>
                <w:highlight w:val="none"/>
              </w:rPr>
              <w:t>情况</w:t>
            </w:r>
          </w:p>
        </w:tc>
        <w:tc>
          <w:tcPr>
            <w:tcW w:w="1489" w:type="dxa"/>
            <w:shd w:val="clear" w:color="auto" w:fill="FFFFFF"/>
            <w:vAlign w:val="center"/>
          </w:tcPr>
          <w:p>
            <w:pPr>
              <w:spacing w:line="280" w:lineRule="exact"/>
              <w:jc w:val="center"/>
              <w:rPr>
                <w:rFonts w:ascii="仿宋_GB2312"/>
                <w:sz w:val="24"/>
                <w:szCs w:val="24"/>
                <w:highlight w:val="none"/>
              </w:rPr>
            </w:pPr>
            <w:r>
              <w:rPr>
                <w:rFonts w:hint="eastAsia" w:ascii="仿宋_GB2312"/>
                <w:sz w:val="24"/>
                <w:szCs w:val="24"/>
                <w:highlight w:val="none"/>
              </w:rPr>
              <w:t>单位名称</w:t>
            </w:r>
          </w:p>
        </w:tc>
        <w:tc>
          <w:tcPr>
            <w:tcW w:w="3349" w:type="dxa"/>
            <w:gridSpan w:val="5"/>
            <w:shd w:val="clear" w:color="auto" w:fill="FFFFFF"/>
            <w:vAlign w:val="center"/>
          </w:tcPr>
          <w:p>
            <w:pPr>
              <w:spacing w:line="280" w:lineRule="exact"/>
              <w:jc w:val="center"/>
              <w:rPr>
                <w:rFonts w:ascii="仿宋_GB2312"/>
                <w:sz w:val="24"/>
                <w:szCs w:val="24"/>
                <w:highlight w:val="none"/>
              </w:rPr>
            </w:pPr>
          </w:p>
        </w:tc>
        <w:tc>
          <w:tcPr>
            <w:tcW w:w="1280" w:type="dxa"/>
            <w:gridSpan w:val="2"/>
            <w:shd w:val="clear" w:color="auto" w:fill="FFFFFF"/>
            <w:vAlign w:val="center"/>
          </w:tcPr>
          <w:p>
            <w:pPr>
              <w:spacing w:line="280" w:lineRule="exact"/>
              <w:jc w:val="center"/>
              <w:rPr>
                <w:rFonts w:ascii="仿宋_GB2312"/>
                <w:sz w:val="24"/>
                <w:szCs w:val="24"/>
                <w:highlight w:val="none"/>
              </w:rPr>
            </w:pPr>
            <w:r>
              <w:rPr>
                <w:rFonts w:hint="eastAsia" w:ascii="仿宋_GB2312"/>
                <w:sz w:val="24"/>
                <w:szCs w:val="24"/>
                <w:highlight w:val="none"/>
              </w:rPr>
              <w:t>行业领域</w:t>
            </w:r>
          </w:p>
        </w:tc>
        <w:tc>
          <w:tcPr>
            <w:tcW w:w="2302" w:type="dxa"/>
            <w:shd w:val="clear" w:color="auto" w:fill="FFFFFF"/>
            <w:vAlign w:val="center"/>
          </w:tcPr>
          <w:p>
            <w:pPr>
              <w:spacing w:line="280" w:lineRule="exact"/>
              <w:jc w:val="center"/>
              <w:rPr>
                <w:rFonts w:ascii="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Ex>
        <w:trPr>
          <w:cantSplit/>
          <w:trHeight w:val="501" w:hRule="atLeast"/>
          <w:jc w:val="center"/>
        </w:trPr>
        <w:tc>
          <w:tcPr>
            <w:tcW w:w="634" w:type="dxa"/>
            <w:vMerge w:val="continue"/>
            <w:shd w:val="clear" w:color="auto" w:fill="FFFFFF"/>
            <w:vAlign w:val="center"/>
          </w:tcPr>
          <w:p>
            <w:pPr>
              <w:spacing w:line="280" w:lineRule="exact"/>
              <w:jc w:val="center"/>
              <w:rPr>
                <w:sz w:val="24"/>
                <w:szCs w:val="24"/>
                <w:highlight w:val="none"/>
              </w:rPr>
            </w:pPr>
          </w:p>
        </w:tc>
        <w:tc>
          <w:tcPr>
            <w:tcW w:w="1489" w:type="dxa"/>
            <w:shd w:val="clear" w:color="auto" w:fill="FFFFFF"/>
            <w:vAlign w:val="center"/>
          </w:tcPr>
          <w:p>
            <w:pPr>
              <w:spacing w:line="280" w:lineRule="exact"/>
              <w:jc w:val="center"/>
              <w:rPr>
                <w:rFonts w:ascii="仿宋_GB2312"/>
                <w:sz w:val="24"/>
                <w:szCs w:val="24"/>
                <w:highlight w:val="none"/>
              </w:rPr>
            </w:pPr>
            <w:r>
              <w:rPr>
                <w:rFonts w:hint="eastAsia" w:ascii="仿宋_GB2312"/>
                <w:sz w:val="24"/>
                <w:szCs w:val="24"/>
                <w:highlight w:val="none"/>
              </w:rPr>
              <w:t>注册地址</w:t>
            </w:r>
          </w:p>
        </w:tc>
        <w:tc>
          <w:tcPr>
            <w:tcW w:w="3349" w:type="dxa"/>
            <w:gridSpan w:val="5"/>
            <w:shd w:val="clear" w:color="auto" w:fill="FFFFFF"/>
            <w:vAlign w:val="center"/>
          </w:tcPr>
          <w:p>
            <w:pPr>
              <w:spacing w:line="280" w:lineRule="exact"/>
              <w:jc w:val="center"/>
              <w:rPr>
                <w:rFonts w:ascii="仿宋_GB2312"/>
                <w:sz w:val="24"/>
                <w:szCs w:val="24"/>
                <w:highlight w:val="none"/>
              </w:rPr>
            </w:pPr>
          </w:p>
        </w:tc>
        <w:tc>
          <w:tcPr>
            <w:tcW w:w="1280" w:type="dxa"/>
            <w:gridSpan w:val="2"/>
            <w:shd w:val="clear" w:color="auto" w:fill="FFFFFF"/>
            <w:vAlign w:val="center"/>
          </w:tcPr>
          <w:p>
            <w:pPr>
              <w:spacing w:line="280" w:lineRule="exact"/>
              <w:jc w:val="center"/>
              <w:rPr>
                <w:rFonts w:ascii="仿宋_GB2312"/>
                <w:sz w:val="24"/>
                <w:szCs w:val="24"/>
                <w:highlight w:val="none"/>
              </w:rPr>
            </w:pPr>
            <w:r>
              <w:rPr>
                <w:rFonts w:hint="eastAsia" w:ascii="仿宋_GB2312"/>
                <w:sz w:val="24"/>
                <w:szCs w:val="24"/>
                <w:highlight w:val="none"/>
              </w:rPr>
              <w:t>机构代码</w:t>
            </w:r>
          </w:p>
        </w:tc>
        <w:tc>
          <w:tcPr>
            <w:tcW w:w="2302" w:type="dxa"/>
            <w:shd w:val="clear" w:color="auto" w:fill="FFFFFF"/>
            <w:vAlign w:val="center"/>
          </w:tcPr>
          <w:p>
            <w:pPr>
              <w:spacing w:line="280" w:lineRule="exact"/>
              <w:jc w:val="center"/>
              <w:rPr>
                <w:rFonts w:ascii="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Ex>
        <w:trPr>
          <w:cantSplit/>
          <w:trHeight w:val="623" w:hRule="atLeast"/>
          <w:jc w:val="center"/>
        </w:trPr>
        <w:tc>
          <w:tcPr>
            <w:tcW w:w="634" w:type="dxa"/>
            <w:vMerge w:val="continue"/>
            <w:shd w:val="clear" w:color="auto" w:fill="FFFFFF"/>
            <w:vAlign w:val="center"/>
          </w:tcPr>
          <w:p>
            <w:pPr>
              <w:spacing w:line="280" w:lineRule="exact"/>
              <w:jc w:val="center"/>
              <w:rPr>
                <w:sz w:val="24"/>
                <w:szCs w:val="24"/>
                <w:highlight w:val="none"/>
              </w:rPr>
            </w:pPr>
          </w:p>
        </w:tc>
        <w:tc>
          <w:tcPr>
            <w:tcW w:w="1489" w:type="dxa"/>
            <w:shd w:val="clear" w:color="auto" w:fill="FFFFFF"/>
            <w:vAlign w:val="center"/>
          </w:tcPr>
          <w:p>
            <w:pPr>
              <w:spacing w:line="280" w:lineRule="exact"/>
              <w:jc w:val="center"/>
              <w:rPr>
                <w:rFonts w:ascii="仿宋_GB2312"/>
                <w:sz w:val="24"/>
                <w:szCs w:val="24"/>
                <w:highlight w:val="none"/>
              </w:rPr>
            </w:pPr>
            <w:r>
              <w:rPr>
                <w:rFonts w:hint="eastAsia" w:ascii="仿宋_GB2312"/>
                <w:sz w:val="24"/>
                <w:szCs w:val="24"/>
                <w:highlight w:val="none"/>
              </w:rPr>
              <w:t>主营业务</w:t>
            </w:r>
          </w:p>
        </w:tc>
        <w:tc>
          <w:tcPr>
            <w:tcW w:w="3349" w:type="dxa"/>
            <w:gridSpan w:val="5"/>
            <w:shd w:val="clear" w:color="auto" w:fill="FFFFFF"/>
            <w:vAlign w:val="center"/>
          </w:tcPr>
          <w:p>
            <w:pPr>
              <w:spacing w:line="280" w:lineRule="exact"/>
              <w:jc w:val="center"/>
              <w:rPr>
                <w:rFonts w:ascii="仿宋_GB2312"/>
                <w:sz w:val="24"/>
                <w:szCs w:val="24"/>
                <w:highlight w:val="none"/>
              </w:rPr>
            </w:pPr>
          </w:p>
        </w:tc>
        <w:tc>
          <w:tcPr>
            <w:tcW w:w="1280" w:type="dxa"/>
            <w:gridSpan w:val="2"/>
            <w:shd w:val="clear" w:color="auto" w:fill="FFFFFF"/>
            <w:vAlign w:val="center"/>
          </w:tcPr>
          <w:p>
            <w:pPr>
              <w:spacing w:line="280" w:lineRule="exact"/>
              <w:jc w:val="center"/>
              <w:rPr>
                <w:rFonts w:ascii="仿宋_GB2312"/>
                <w:sz w:val="24"/>
                <w:szCs w:val="24"/>
                <w:highlight w:val="none"/>
              </w:rPr>
            </w:pPr>
            <w:r>
              <w:rPr>
                <w:rFonts w:hint="eastAsia" w:ascii="仿宋_GB2312"/>
                <w:sz w:val="24"/>
                <w:szCs w:val="24"/>
                <w:highlight w:val="none"/>
              </w:rPr>
              <w:t>注册时间</w:t>
            </w:r>
          </w:p>
        </w:tc>
        <w:tc>
          <w:tcPr>
            <w:tcW w:w="2302" w:type="dxa"/>
            <w:shd w:val="clear" w:color="auto" w:fill="FFFFFF"/>
            <w:vAlign w:val="center"/>
          </w:tcPr>
          <w:p>
            <w:pPr>
              <w:spacing w:line="280" w:lineRule="exact"/>
              <w:jc w:val="center"/>
              <w:rPr>
                <w:rFonts w:ascii="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Ex>
        <w:trPr>
          <w:cantSplit/>
          <w:trHeight w:val="57" w:hRule="atLeast"/>
          <w:jc w:val="center"/>
        </w:trPr>
        <w:tc>
          <w:tcPr>
            <w:tcW w:w="634" w:type="dxa"/>
            <w:vMerge w:val="continue"/>
            <w:shd w:val="clear" w:color="auto" w:fill="FFFFFF"/>
            <w:vAlign w:val="center"/>
          </w:tcPr>
          <w:p>
            <w:pPr>
              <w:spacing w:line="280" w:lineRule="exact"/>
              <w:jc w:val="center"/>
              <w:rPr>
                <w:sz w:val="24"/>
                <w:szCs w:val="24"/>
                <w:highlight w:val="none"/>
              </w:rPr>
            </w:pPr>
          </w:p>
        </w:tc>
        <w:tc>
          <w:tcPr>
            <w:tcW w:w="1489" w:type="dxa"/>
            <w:shd w:val="clear" w:color="auto" w:fill="FFFFFF"/>
            <w:vAlign w:val="center"/>
          </w:tcPr>
          <w:p>
            <w:pPr>
              <w:spacing w:line="280" w:lineRule="exact"/>
              <w:jc w:val="center"/>
              <w:rPr>
                <w:rFonts w:ascii="仿宋_GB2312"/>
                <w:sz w:val="24"/>
                <w:szCs w:val="24"/>
                <w:highlight w:val="none"/>
              </w:rPr>
            </w:pPr>
            <w:r>
              <w:rPr>
                <w:rFonts w:hint="eastAsia" w:ascii="仿宋_GB2312"/>
                <w:sz w:val="24"/>
                <w:szCs w:val="24"/>
                <w:highlight w:val="none"/>
              </w:rPr>
              <w:t>银行账号</w:t>
            </w:r>
          </w:p>
        </w:tc>
        <w:tc>
          <w:tcPr>
            <w:tcW w:w="3349" w:type="dxa"/>
            <w:gridSpan w:val="5"/>
            <w:shd w:val="clear" w:color="auto" w:fill="FFFFFF"/>
            <w:vAlign w:val="center"/>
          </w:tcPr>
          <w:p>
            <w:pPr>
              <w:spacing w:line="280" w:lineRule="exact"/>
              <w:jc w:val="center"/>
              <w:rPr>
                <w:rFonts w:ascii="仿宋_GB2312"/>
                <w:sz w:val="24"/>
                <w:szCs w:val="24"/>
                <w:highlight w:val="none"/>
              </w:rPr>
            </w:pPr>
          </w:p>
        </w:tc>
        <w:tc>
          <w:tcPr>
            <w:tcW w:w="1280" w:type="dxa"/>
            <w:gridSpan w:val="2"/>
            <w:shd w:val="clear" w:color="auto" w:fill="FFFFFF"/>
            <w:vAlign w:val="center"/>
          </w:tcPr>
          <w:p>
            <w:pPr>
              <w:spacing w:line="280" w:lineRule="exact"/>
              <w:jc w:val="center"/>
              <w:rPr>
                <w:rFonts w:ascii="仿宋_GB2312"/>
                <w:sz w:val="24"/>
                <w:szCs w:val="24"/>
                <w:highlight w:val="none"/>
              </w:rPr>
            </w:pPr>
            <w:r>
              <w:rPr>
                <w:rFonts w:hint="eastAsia" w:ascii="仿宋_GB2312"/>
                <w:sz w:val="24"/>
                <w:szCs w:val="24"/>
                <w:highlight w:val="none"/>
              </w:rPr>
              <w:t>对公</w:t>
            </w:r>
            <w:r>
              <w:rPr>
                <w:rFonts w:ascii="仿宋_GB2312"/>
                <w:sz w:val="24"/>
                <w:szCs w:val="24"/>
                <w:highlight w:val="none"/>
              </w:rPr>
              <w:t>账户开户行</w:t>
            </w:r>
          </w:p>
        </w:tc>
        <w:tc>
          <w:tcPr>
            <w:tcW w:w="2302" w:type="dxa"/>
            <w:shd w:val="clear" w:color="auto" w:fill="FFFFFF"/>
            <w:vAlign w:val="center"/>
          </w:tcPr>
          <w:p>
            <w:pPr>
              <w:spacing w:line="280" w:lineRule="exact"/>
              <w:jc w:val="center"/>
              <w:rPr>
                <w:rFonts w:ascii="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Ex>
        <w:trPr>
          <w:cantSplit/>
          <w:trHeight w:val="586" w:hRule="atLeast"/>
          <w:jc w:val="center"/>
        </w:trPr>
        <w:tc>
          <w:tcPr>
            <w:tcW w:w="634" w:type="dxa"/>
            <w:vMerge w:val="continue"/>
            <w:shd w:val="clear" w:color="auto" w:fill="FFFFFF"/>
            <w:vAlign w:val="center"/>
          </w:tcPr>
          <w:p>
            <w:pPr>
              <w:spacing w:line="280" w:lineRule="exact"/>
              <w:jc w:val="center"/>
              <w:rPr>
                <w:sz w:val="24"/>
                <w:szCs w:val="24"/>
                <w:highlight w:val="none"/>
              </w:rPr>
            </w:pPr>
          </w:p>
        </w:tc>
        <w:tc>
          <w:tcPr>
            <w:tcW w:w="1489" w:type="dxa"/>
            <w:shd w:val="clear" w:color="auto" w:fill="FFFFFF"/>
            <w:vAlign w:val="center"/>
          </w:tcPr>
          <w:p>
            <w:pPr>
              <w:spacing w:before="100" w:beforeAutospacing="1" w:after="100" w:afterAutospacing="1" w:line="280" w:lineRule="exact"/>
              <w:jc w:val="center"/>
              <w:rPr>
                <w:rFonts w:ascii="仿宋_GB2312"/>
                <w:sz w:val="24"/>
                <w:szCs w:val="24"/>
                <w:highlight w:val="none"/>
              </w:rPr>
            </w:pPr>
            <w:r>
              <w:rPr>
                <w:rFonts w:hint="eastAsia" w:ascii="仿宋_GB2312"/>
                <w:sz w:val="24"/>
                <w:szCs w:val="24"/>
                <w:highlight w:val="none"/>
              </w:rPr>
              <w:t>法定代表人</w:t>
            </w:r>
          </w:p>
        </w:tc>
        <w:tc>
          <w:tcPr>
            <w:tcW w:w="1103" w:type="dxa"/>
            <w:shd w:val="clear" w:color="auto" w:fill="FFFFFF"/>
            <w:vAlign w:val="center"/>
          </w:tcPr>
          <w:p>
            <w:pPr>
              <w:spacing w:line="280" w:lineRule="exact"/>
              <w:jc w:val="center"/>
              <w:rPr>
                <w:rFonts w:ascii="仿宋_GB2312"/>
                <w:sz w:val="24"/>
                <w:szCs w:val="24"/>
                <w:highlight w:val="none"/>
              </w:rPr>
            </w:pPr>
          </w:p>
        </w:tc>
        <w:tc>
          <w:tcPr>
            <w:tcW w:w="1110" w:type="dxa"/>
            <w:shd w:val="clear" w:color="auto" w:fill="FFFFFF"/>
            <w:vAlign w:val="center"/>
          </w:tcPr>
          <w:p>
            <w:pPr>
              <w:spacing w:before="100" w:beforeAutospacing="1" w:after="100" w:afterAutospacing="1" w:line="280" w:lineRule="exact"/>
              <w:jc w:val="center"/>
              <w:rPr>
                <w:rFonts w:ascii="仿宋_GB2312"/>
                <w:sz w:val="24"/>
                <w:szCs w:val="24"/>
                <w:highlight w:val="none"/>
              </w:rPr>
            </w:pPr>
            <w:r>
              <w:rPr>
                <w:rFonts w:hint="eastAsia" w:ascii="仿宋_GB2312"/>
                <w:sz w:val="24"/>
                <w:szCs w:val="24"/>
                <w:highlight w:val="none"/>
              </w:rPr>
              <w:t>电    话</w:t>
            </w:r>
          </w:p>
        </w:tc>
        <w:tc>
          <w:tcPr>
            <w:tcW w:w="1136" w:type="dxa"/>
            <w:gridSpan w:val="3"/>
            <w:shd w:val="clear" w:color="auto" w:fill="FFFFFF"/>
            <w:vAlign w:val="center"/>
          </w:tcPr>
          <w:p>
            <w:pPr>
              <w:spacing w:line="280" w:lineRule="exact"/>
              <w:jc w:val="center"/>
              <w:rPr>
                <w:rFonts w:ascii="仿宋_GB2312"/>
                <w:sz w:val="24"/>
                <w:szCs w:val="24"/>
                <w:highlight w:val="none"/>
              </w:rPr>
            </w:pPr>
          </w:p>
        </w:tc>
        <w:tc>
          <w:tcPr>
            <w:tcW w:w="1280" w:type="dxa"/>
            <w:gridSpan w:val="2"/>
            <w:shd w:val="clear" w:color="auto" w:fill="FFFFFF"/>
            <w:vAlign w:val="center"/>
          </w:tcPr>
          <w:p>
            <w:pPr>
              <w:spacing w:line="280" w:lineRule="exact"/>
              <w:jc w:val="center"/>
              <w:rPr>
                <w:rFonts w:ascii="仿宋_GB2312"/>
                <w:sz w:val="24"/>
                <w:szCs w:val="24"/>
                <w:highlight w:val="none"/>
              </w:rPr>
            </w:pPr>
            <w:r>
              <w:rPr>
                <w:rFonts w:hint="eastAsia" w:ascii="仿宋_GB2312"/>
                <w:sz w:val="24"/>
                <w:szCs w:val="24"/>
                <w:highlight w:val="none"/>
              </w:rPr>
              <w:t>传    真</w:t>
            </w:r>
          </w:p>
        </w:tc>
        <w:tc>
          <w:tcPr>
            <w:tcW w:w="2302" w:type="dxa"/>
            <w:shd w:val="clear" w:color="auto" w:fill="FFFFFF"/>
            <w:vAlign w:val="center"/>
          </w:tcPr>
          <w:p>
            <w:pPr>
              <w:spacing w:line="280" w:lineRule="exact"/>
              <w:jc w:val="center"/>
              <w:rPr>
                <w:rFonts w:ascii="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Ex>
        <w:trPr>
          <w:cantSplit/>
          <w:trHeight w:val="637" w:hRule="atLeast"/>
          <w:jc w:val="center"/>
        </w:trPr>
        <w:tc>
          <w:tcPr>
            <w:tcW w:w="634" w:type="dxa"/>
            <w:vMerge w:val="continue"/>
            <w:shd w:val="clear" w:color="auto" w:fill="FFFFFF"/>
            <w:vAlign w:val="center"/>
          </w:tcPr>
          <w:p>
            <w:pPr>
              <w:spacing w:line="280" w:lineRule="exact"/>
              <w:jc w:val="center"/>
              <w:rPr>
                <w:sz w:val="24"/>
                <w:szCs w:val="24"/>
                <w:highlight w:val="none"/>
              </w:rPr>
            </w:pPr>
          </w:p>
        </w:tc>
        <w:tc>
          <w:tcPr>
            <w:tcW w:w="1489" w:type="dxa"/>
            <w:shd w:val="clear" w:color="auto" w:fill="FFFFFF"/>
            <w:vAlign w:val="center"/>
          </w:tcPr>
          <w:p>
            <w:pPr>
              <w:spacing w:before="100" w:beforeAutospacing="1" w:after="100" w:afterAutospacing="1" w:line="280" w:lineRule="exact"/>
              <w:jc w:val="center"/>
              <w:rPr>
                <w:rFonts w:ascii="仿宋_GB2312"/>
                <w:sz w:val="24"/>
                <w:szCs w:val="24"/>
                <w:highlight w:val="none"/>
              </w:rPr>
            </w:pPr>
            <w:r>
              <w:rPr>
                <w:rFonts w:hint="eastAsia" w:ascii="仿宋_GB2312"/>
                <w:sz w:val="24"/>
                <w:szCs w:val="24"/>
                <w:highlight w:val="none"/>
              </w:rPr>
              <w:t>联 系 人</w:t>
            </w:r>
          </w:p>
        </w:tc>
        <w:tc>
          <w:tcPr>
            <w:tcW w:w="1103" w:type="dxa"/>
            <w:shd w:val="clear" w:color="auto" w:fill="FFFFFF"/>
            <w:vAlign w:val="center"/>
          </w:tcPr>
          <w:p>
            <w:pPr>
              <w:spacing w:line="280" w:lineRule="exact"/>
              <w:jc w:val="center"/>
              <w:rPr>
                <w:rFonts w:ascii="仿宋_GB2312"/>
                <w:sz w:val="24"/>
                <w:szCs w:val="24"/>
                <w:highlight w:val="none"/>
              </w:rPr>
            </w:pPr>
          </w:p>
        </w:tc>
        <w:tc>
          <w:tcPr>
            <w:tcW w:w="1110" w:type="dxa"/>
            <w:shd w:val="clear" w:color="auto" w:fill="FFFFFF"/>
            <w:vAlign w:val="center"/>
          </w:tcPr>
          <w:p>
            <w:pPr>
              <w:spacing w:before="100" w:beforeAutospacing="1" w:after="100" w:afterAutospacing="1" w:line="280" w:lineRule="exact"/>
              <w:jc w:val="center"/>
              <w:rPr>
                <w:rFonts w:ascii="仿宋_GB2312"/>
                <w:sz w:val="24"/>
                <w:szCs w:val="24"/>
                <w:highlight w:val="none"/>
              </w:rPr>
            </w:pPr>
            <w:r>
              <w:rPr>
                <w:rFonts w:hint="eastAsia" w:ascii="仿宋_GB2312"/>
                <w:sz w:val="24"/>
                <w:szCs w:val="24"/>
                <w:highlight w:val="none"/>
              </w:rPr>
              <w:t>电    话</w:t>
            </w:r>
          </w:p>
        </w:tc>
        <w:tc>
          <w:tcPr>
            <w:tcW w:w="1136" w:type="dxa"/>
            <w:gridSpan w:val="3"/>
            <w:shd w:val="clear" w:color="auto" w:fill="FFFFFF"/>
            <w:vAlign w:val="center"/>
          </w:tcPr>
          <w:p>
            <w:pPr>
              <w:spacing w:line="280" w:lineRule="exact"/>
              <w:jc w:val="center"/>
              <w:rPr>
                <w:rFonts w:ascii="仿宋_GB2312"/>
                <w:sz w:val="24"/>
                <w:szCs w:val="24"/>
                <w:highlight w:val="none"/>
              </w:rPr>
            </w:pPr>
          </w:p>
        </w:tc>
        <w:tc>
          <w:tcPr>
            <w:tcW w:w="1280" w:type="dxa"/>
            <w:gridSpan w:val="2"/>
            <w:tcBorders>
              <w:bottom w:val="single" w:color="auto" w:sz="4" w:space="0"/>
            </w:tcBorders>
            <w:shd w:val="clear" w:color="auto" w:fill="FFFFFF"/>
            <w:vAlign w:val="center"/>
          </w:tcPr>
          <w:p>
            <w:pPr>
              <w:spacing w:line="280" w:lineRule="exact"/>
              <w:jc w:val="center"/>
              <w:rPr>
                <w:rFonts w:ascii="仿宋_GB2312"/>
                <w:sz w:val="24"/>
                <w:szCs w:val="24"/>
                <w:highlight w:val="none"/>
              </w:rPr>
            </w:pPr>
            <w:r>
              <w:rPr>
                <w:rFonts w:hint="eastAsia" w:ascii="仿宋_GB2312"/>
                <w:sz w:val="24"/>
                <w:szCs w:val="24"/>
                <w:highlight w:val="none"/>
              </w:rPr>
              <w:t>手    机</w:t>
            </w:r>
          </w:p>
        </w:tc>
        <w:tc>
          <w:tcPr>
            <w:tcW w:w="2302" w:type="dxa"/>
            <w:tcBorders>
              <w:bottom w:val="single" w:color="auto" w:sz="4" w:space="0"/>
            </w:tcBorders>
            <w:shd w:val="clear" w:color="auto" w:fill="FFFFFF"/>
            <w:vAlign w:val="center"/>
          </w:tcPr>
          <w:p>
            <w:pPr>
              <w:spacing w:line="280" w:lineRule="exact"/>
              <w:jc w:val="center"/>
              <w:rPr>
                <w:rFonts w:ascii="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Ex>
        <w:trPr>
          <w:cantSplit/>
          <w:trHeight w:val="491" w:hRule="atLeast"/>
          <w:jc w:val="center"/>
        </w:trPr>
        <w:tc>
          <w:tcPr>
            <w:tcW w:w="634" w:type="dxa"/>
            <w:vMerge w:val="restart"/>
            <w:shd w:val="clear" w:color="auto" w:fill="FFFFFF"/>
            <w:vAlign w:val="center"/>
          </w:tcPr>
          <w:p>
            <w:pPr>
              <w:spacing w:line="280" w:lineRule="exact"/>
              <w:jc w:val="center"/>
              <w:rPr>
                <w:spacing w:val="-4"/>
                <w:sz w:val="24"/>
                <w:szCs w:val="24"/>
                <w:highlight w:val="none"/>
              </w:rPr>
            </w:pPr>
            <w:r>
              <w:rPr>
                <w:rFonts w:hint="eastAsia"/>
                <w:spacing w:val="-4"/>
                <w:sz w:val="24"/>
                <w:szCs w:val="24"/>
                <w:highlight w:val="none"/>
              </w:rPr>
              <w:t>上</w:t>
            </w:r>
          </w:p>
          <w:p>
            <w:pPr>
              <w:spacing w:line="280" w:lineRule="exact"/>
              <w:jc w:val="center"/>
              <w:rPr>
                <w:spacing w:val="-4"/>
                <w:sz w:val="24"/>
                <w:szCs w:val="24"/>
                <w:highlight w:val="none"/>
              </w:rPr>
            </w:pPr>
            <w:r>
              <w:rPr>
                <w:rFonts w:hint="eastAsia"/>
                <w:spacing w:val="-4"/>
                <w:sz w:val="24"/>
                <w:szCs w:val="24"/>
                <w:highlight w:val="none"/>
              </w:rPr>
              <w:t>年</w:t>
            </w:r>
          </w:p>
          <w:p>
            <w:pPr>
              <w:spacing w:line="280" w:lineRule="exact"/>
              <w:jc w:val="center"/>
              <w:rPr>
                <w:spacing w:val="-4"/>
                <w:sz w:val="24"/>
                <w:szCs w:val="24"/>
                <w:highlight w:val="none"/>
              </w:rPr>
            </w:pPr>
            <w:r>
              <w:rPr>
                <w:rFonts w:hint="eastAsia"/>
                <w:spacing w:val="-4"/>
                <w:sz w:val="24"/>
                <w:szCs w:val="24"/>
                <w:highlight w:val="none"/>
              </w:rPr>
              <w:t>度</w:t>
            </w:r>
          </w:p>
          <w:p>
            <w:pPr>
              <w:spacing w:line="280" w:lineRule="exact"/>
              <w:jc w:val="center"/>
              <w:rPr>
                <w:spacing w:val="-4"/>
                <w:sz w:val="24"/>
                <w:szCs w:val="24"/>
                <w:highlight w:val="none"/>
              </w:rPr>
            </w:pPr>
            <w:r>
              <w:rPr>
                <w:rFonts w:hint="eastAsia"/>
                <w:spacing w:val="-4"/>
                <w:sz w:val="24"/>
                <w:szCs w:val="24"/>
                <w:highlight w:val="none"/>
              </w:rPr>
              <w:t>经</w:t>
            </w:r>
          </w:p>
          <w:p>
            <w:pPr>
              <w:spacing w:line="280" w:lineRule="exact"/>
              <w:jc w:val="center"/>
              <w:rPr>
                <w:spacing w:val="-4"/>
                <w:sz w:val="24"/>
                <w:szCs w:val="24"/>
                <w:highlight w:val="none"/>
              </w:rPr>
            </w:pPr>
            <w:r>
              <w:rPr>
                <w:rFonts w:hint="eastAsia"/>
                <w:spacing w:val="-4"/>
                <w:sz w:val="24"/>
                <w:szCs w:val="24"/>
                <w:highlight w:val="none"/>
              </w:rPr>
              <w:t>营</w:t>
            </w:r>
          </w:p>
          <w:p>
            <w:pPr>
              <w:spacing w:line="280" w:lineRule="exact"/>
              <w:jc w:val="center"/>
              <w:rPr>
                <w:spacing w:val="-4"/>
                <w:sz w:val="24"/>
                <w:szCs w:val="24"/>
                <w:highlight w:val="none"/>
              </w:rPr>
            </w:pPr>
            <w:r>
              <w:rPr>
                <w:rFonts w:hint="eastAsia"/>
                <w:spacing w:val="-4"/>
                <w:sz w:val="24"/>
                <w:szCs w:val="24"/>
                <w:highlight w:val="none"/>
              </w:rPr>
              <w:t>情</w:t>
            </w:r>
          </w:p>
          <w:p>
            <w:pPr>
              <w:spacing w:line="280" w:lineRule="exact"/>
              <w:jc w:val="center"/>
              <w:rPr>
                <w:sz w:val="24"/>
                <w:szCs w:val="24"/>
                <w:highlight w:val="none"/>
              </w:rPr>
            </w:pPr>
            <w:r>
              <w:rPr>
                <w:rFonts w:hint="eastAsia"/>
                <w:spacing w:val="-4"/>
                <w:sz w:val="24"/>
                <w:szCs w:val="24"/>
                <w:highlight w:val="none"/>
              </w:rPr>
              <w:t>况</w:t>
            </w:r>
          </w:p>
        </w:tc>
        <w:tc>
          <w:tcPr>
            <w:tcW w:w="1489" w:type="dxa"/>
            <w:shd w:val="clear" w:color="auto" w:fill="FFFFFF"/>
            <w:vAlign w:val="center"/>
          </w:tcPr>
          <w:p>
            <w:pPr>
              <w:spacing w:line="280" w:lineRule="exact"/>
              <w:ind w:firstLine="14" w:firstLineChars="6"/>
              <w:jc w:val="center"/>
              <w:rPr>
                <w:sz w:val="24"/>
                <w:szCs w:val="24"/>
                <w:highlight w:val="none"/>
              </w:rPr>
            </w:pPr>
            <w:r>
              <w:rPr>
                <w:rFonts w:hint="eastAsia"/>
                <w:sz w:val="24"/>
                <w:szCs w:val="24"/>
                <w:highlight w:val="none"/>
              </w:rPr>
              <w:t>实缴注册资本</w:t>
            </w:r>
          </w:p>
        </w:tc>
        <w:tc>
          <w:tcPr>
            <w:tcW w:w="2476" w:type="dxa"/>
            <w:gridSpan w:val="3"/>
            <w:shd w:val="clear" w:color="auto" w:fill="FFFFFF"/>
            <w:vAlign w:val="center"/>
          </w:tcPr>
          <w:p>
            <w:pPr>
              <w:spacing w:line="280" w:lineRule="exact"/>
              <w:ind w:firstLine="1920" w:firstLineChars="800"/>
              <w:rPr>
                <w:sz w:val="24"/>
                <w:szCs w:val="24"/>
                <w:highlight w:val="none"/>
              </w:rPr>
            </w:pPr>
            <w:r>
              <w:rPr>
                <w:rFonts w:hint="eastAsia"/>
                <w:sz w:val="24"/>
                <w:szCs w:val="24"/>
                <w:highlight w:val="none"/>
              </w:rPr>
              <w:t>万元</w:t>
            </w:r>
          </w:p>
        </w:tc>
        <w:tc>
          <w:tcPr>
            <w:tcW w:w="1674" w:type="dxa"/>
            <w:gridSpan w:val="3"/>
            <w:shd w:val="clear" w:color="auto" w:fill="FFFFFF"/>
            <w:vAlign w:val="center"/>
          </w:tcPr>
          <w:p>
            <w:pPr>
              <w:spacing w:line="280" w:lineRule="exact"/>
              <w:ind w:right="10" w:rightChars="5" w:firstLine="98" w:firstLineChars="41"/>
              <w:jc w:val="center"/>
              <w:rPr>
                <w:sz w:val="24"/>
                <w:szCs w:val="24"/>
                <w:highlight w:val="none"/>
              </w:rPr>
            </w:pPr>
            <w:r>
              <w:rPr>
                <w:rFonts w:hint="eastAsia"/>
                <w:sz w:val="24"/>
                <w:szCs w:val="24"/>
                <w:highlight w:val="none"/>
              </w:rPr>
              <w:t>营业收入</w:t>
            </w:r>
          </w:p>
        </w:tc>
        <w:tc>
          <w:tcPr>
            <w:tcW w:w="2781" w:type="dxa"/>
            <w:gridSpan w:val="2"/>
            <w:shd w:val="clear" w:color="auto" w:fill="FFFFFF"/>
            <w:vAlign w:val="center"/>
          </w:tcPr>
          <w:p>
            <w:pPr>
              <w:spacing w:line="280" w:lineRule="exact"/>
              <w:ind w:right="-38" w:firstLine="2032" w:firstLineChars="847"/>
              <w:rPr>
                <w:sz w:val="24"/>
                <w:szCs w:val="24"/>
                <w:highlight w:val="none"/>
              </w:rPr>
            </w:pPr>
            <w:r>
              <w:rPr>
                <w:rFonts w:hint="eastAsia"/>
                <w:sz w:val="24"/>
                <w:szCs w:val="24"/>
                <w:highlight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Ex>
        <w:trPr>
          <w:cantSplit/>
          <w:trHeight w:val="571" w:hRule="atLeast"/>
          <w:jc w:val="center"/>
        </w:trPr>
        <w:tc>
          <w:tcPr>
            <w:tcW w:w="634" w:type="dxa"/>
            <w:vMerge w:val="continue"/>
            <w:shd w:val="clear" w:color="auto" w:fill="FFFFFF"/>
            <w:vAlign w:val="center"/>
          </w:tcPr>
          <w:p>
            <w:pPr>
              <w:spacing w:line="280" w:lineRule="exact"/>
              <w:rPr>
                <w:sz w:val="24"/>
                <w:szCs w:val="24"/>
                <w:highlight w:val="none"/>
              </w:rPr>
            </w:pPr>
          </w:p>
        </w:tc>
        <w:tc>
          <w:tcPr>
            <w:tcW w:w="1489" w:type="dxa"/>
            <w:shd w:val="clear" w:color="auto" w:fill="FFFFFF"/>
            <w:vAlign w:val="center"/>
          </w:tcPr>
          <w:p>
            <w:pPr>
              <w:spacing w:line="280" w:lineRule="exact"/>
              <w:ind w:right="10" w:rightChars="5" w:firstLine="98" w:firstLineChars="41"/>
              <w:jc w:val="center"/>
              <w:rPr>
                <w:sz w:val="24"/>
                <w:szCs w:val="24"/>
                <w:highlight w:val="none"/>
              </w:rPr>
            </w:pPr>
            <w:r>
              <w:rPr>
                <w:rFonts w:hint="eastAsia"/>
                <w:sz w:val="24"/>
                <w:szCs w:val="24"/>
                <w:highlight w:val="none"/>
              </w:rPr>
              <w:t>净资产</w:t>
            </w:r>
          </w:p>
        </w:tc>
        <w:tc>
          <w:tcPr>
            <w:tcW w:w="2476" w:type="dxa"/>
            <w:gridSpan w:val="3"/>
            <w:shd w:val="clear" w:color="auto" w:fill="FFFFFF"/>
            <w:vAlign w:val="center"/>
          </w:tcPr>
          <w:p>
            <w:pPr>
              <w:spacing w:line="280" w:lineRule="exact"/>
              <w:ind w:firstLine="480" w:firstLineChars="200"/>
              <w:jc w:val="right"/>
              <w:rPr>
                <w:sz w:val="24"/>
                <w:szCs w:val="24"/>
                <w:highlight w:val="none"/>
              </w:rPr>
            </w:pPr>
            <w:r>
              <w:rPr>
                <w:rFonts w:hint="eastAsia"/>
                <w:sz w:val="24"/>
                <w:szCs w:val="24"/>
                <w:highlight w:val="none"/>
              </w:rPr>
              <w:t>万元</w:t>
            </w:r>
          </w:p>
        </w:tc>
        <w:tc>
          <w:tcPr>
            <w:tcW w:w="1674" w:type="dxa"/>
            <w:gridSpan w:val="3"/>
            <w:shd w:val="clear" w:color="auto" w:fill="FFFFFF"/>
            <w:vAlign w:val="center"/>
          </w:tcPr>
          <w:p>
            <w:pPr>
              <w:spacing w:line="280" w:lineRule="exact"/>
              <w:ind w:firstLine="14" w:firstLineChars="6"/>
              <w:jc w:val="center"/>
              <w:rPr>
                <w:sz w:val="24"/>
                <w:szCs w:val="24"/>
                <w:highlight w:val="none"/>
              </w:rPr>
            </w:pPr>
            <w:r>
              <w:rPr>
                <w:rFonts w:hint="eastAsia"/>
                <w:sz w:val="24"/>
                <w:szCs w:val="24"/>
                <w:highlight w:val="none"/>
              </w:rPr>
              <w:t>纳税</w:t>
            </w:r>
            <w:r>
              <w:rPr>
                <w:sz w:val="24"/>
                <w:szCs w:val="24"/>
                <w:highlight w:val="none"/>
              </w:rPr>
              <w:t>总额</w:t>
            </w:r>
          </w:p>
        </w:tc>
        <w:tc>
          <w:tcPr>
            <w:tcW w:w="2781" w:type="dxa"/>
            <w:gridSpan w:val="2"/>
            <w:shd w:val="clear" w:color="auto" w:fill="FFFFFF"/>
            <w:vAlign w:val="center"/>
          </w:tcPr>
          <w:p>
            <w:pPr>
              <w:spacing w:line="280" w:lineRule="exact"/>
              <w:ind w:right="240" w:firstLine="480" w:firstLineChars="200"/>
              <w:jc w:val="right"/>
              <w:rPr>
                <w:sz w:val="24"/>
                <w:szCs w:val="24"/>
                <w:highlight w:val="none"/>
              </w:rPr>
            </w:pPr>
            <w:r>
              <w:rPr>
                <w:rFonts w:hint="eastAsia"/>
                <w:sz w:val="24"/>
                <w:szCs w:val="24"/>
                <w:highlight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Ex>
        <w:trPr>
          <w:cantSplit/>
          <w:trHeight w:val="637" w:hRule="atLeast"/>
          <w:jc w:val="center"/>
        </w:trPr>
        <w:tc>
          <w:tcPr>
            <w:tcW w:w="634" w:type="dxa"/>
            <w:vMerge w:val="continue"/>
            <w:shd w:val="clear" w:color="auto" w:fill="FFFFFF"/>
            <w:vAlign w:val="center"/>
          </w:tcPr>
          <w:p>
            <w:pPr>
              <w:spacing w:line="280" w:lineRule="exact"/>
              <w:rPr>
                <w:sz w:val="24"/>
                <w:szCs w:val="24"/>
                <w:highlight w:val="none"/>
              </w:rPr>
            </w:pPr>
          </w:p>
        </w:tc>
        <w:tc>
          <w:tcPr>
            <w:tcW w:w="1489" w:type="dxa"/>
            <w:vMerge w:val="restart"/>
            <w:shd w:val="clear" w:color="auto" w:fill="FFFFFF"/>
            <w:vAlign w:val="center"/>
          </w:tcPr>
          <w:p>
            <w:pPr>
              <w:spacing w:line="280" w:lineRule="exact"/>
              <w:ind w:firstLine="14" w:firstLineChars="6"/>
              <w:jc w:val="center"/>
              <w:rPr>
                <w:sz w:val="24"/>
                <w:szCs w:val="24"/>
                <w:highlight w:val="none"/>
              </w:rPr>
            </w:pPr>
            <w:r>
              <w:rPr>
                <w:rFonts w:hint="eastAsia"/>
                <w:sz w:val="24"/>
                <w:szCs w:val="24"/>
                <w:highlight w:val="none"/>
              </w:rPr>
              <w:t>主要服务名称</w:t>
            </w:r>
          </w:p>
        </w:tc>
        <w:tc>
          <w:tcPr>
            <w:tcW w:w="2476" w:type="dxa"/>
            <w:gridSpan w:val="3"/>
            <w:shd w:val="clear" w:color="auto" w:fill="FFFFFF"/>
            <w:vAlign w:val="center"/>
          </w:tcPr>
          <w:p>
            <w:pPr>
              <w:spacing w:line="280" w:lineRule="exact"/>
              <w:ind w:firstLine="48" w:firstLineChars="20"/>
              <w:rPr>
                <w:rFonts w:ascii="Arial" w:hAnsi="Arial" w:cs="Arial"/>
                <w:sz w:val="24"/>
                <w:szCs w:val="24"/>
                <w:highlight w:val="none"/>
              </w:rPr>
            </w:pPr>
            <w:r>
              <w:rPr>
                <w:rFonts w:ascii="Arial" w:hAnsi="Arial" w:cs="Arial"/>
                <w:sz w:val="24"/>
                <w:szCs w:val="24"/>
                <w:highlight w:val="none"/>
              </w:rPr>
              <w:t>1</w:t>
            </w:r>
            <w:r>
              <w:rPr>
                <w:rFonts w:hint="eastAsia" w:ascii="Arial" w:cs="Arial"/>
                <w:sz w:val="24"/>
                <w:szCs w:val="24"/>
                <w:highlight w:val="none"/>
              </w:rPr>
              <w:t>.</w:t>
            </w:r>
          </w:p>
        </w:tc>
        <w:tc>
          <w:tcPr>
            <w:tcW w:w="1674" w:type="dxa"/>
            <w:gridSpan w:val="3"/>
            <w:vMerge w:val="restart"/>
            <w:shd w:val="clear" w:color="auto" w:fill="FFFFFF"/>
            <w:vAlign w:val="center"/>
          </w:tcPr>
          <w:p>
            <w:pPr>
              <w:spacing w:line="280" w:lineRule="exact"/>
              <w:ind w:right="10" w:rightChars="5" w:firstLine="98" w:firstLineChars="41"/>
              <w:jc w:val="center"/>
              <w:rPr>
                <w:sz w:val="24"/>
                <w:szCs w:val="24"/>
                <w:highlight w:val="none"/>
              </w:rPr>
            </w:pPr>
            <w:r>
              <w:rPr>
                <w:rFonts w:hint="eastAsia"/>
                <w:sz w:val="24"/>
                <w:szCs w:val="24"/>
                <w:highlight w:val="none"/>
              </w:rPr>
              <w:t>占企业营业</w:t>
            </w:r>
          </w:p>
          <w:p>
            <w:pPr>
              <w:spacing w:line="280" w:lineRule="exact"/>
              <w:ind w:right="10" w:rightChars="5" w:firstLine="98" w:firstLineChars="41"/>
              <w:jc w:val="center"/>
              <w:rPr>
                <w:sz w:val="24"/>
                <w:szCs w:val="24"/>
                <w:highlight w:val="none"/>
              </w:rPr>
            </w:pPr>
            <w:r>
              <w:rPr>
                <w:rFonts w:hint="eastAsia"/>
                <w:sz w:val="24"/>
                <w:szCs w:val="24"/>
                <w:highlight w:val="none"/>
              </w:rPr>
              <w:t>收入总额比例</w:t>
            </w:r>
          </w:p>
        </w:tc>
        <w:tc>
          <w:tcPr>
            <w:tcW w:w="2781" w:type="dxa"/>
            <w:gridSpan w:val="2"/>
            <w:shd w:val="clear" w:color="auto" w:fill="FFFFFF"/>
            <w:vAlign w:val="center"/>
          </w:tcPr>
          <w:p>
            <w:pPr>
              <w:spacing w:line="280" w:lineRule="exact"/>
              <w:ind w:firstLine="480" w:firstLineChars="200"/>
              <w:jc w:val="right"/>
              <w:rPr>
                <w:rFonts w:ascii="Arial" w:hAnsi="Arial" w:cs="Arial"/>
                <w:sz w:val="24"/>
                <w:szCs w:val="24"/>
                <w:highlight w:val="none"/>
              </w:rPr>
            </w:pPr>
            <w:r>
              <w:rPr>
                <w:rFonts w:ascii="Arial" w:cs="Arial"/>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Ex>
        <w:trPr>
          <w:cantSplit/>
          <w:trHeight w:val="634" w:hRule="atLeast"/>
          <w:jc w:val="center"/>
        </w:trPr>
        <w:tc>
          <w:tcPr>
            <w:tcW w:w="634" w:type="dxa"/>
            <w:vMerge w:val="continue"/>
            <w:shd w:val="clear" w:color="auto" w:fill="FFFFFF"/>
            <w:vAlign w:val="center"/>
          </w:tcPr>
          <w:p>
            <w:pPr>
              <w:spacing w:line="280" w:lineRule="exact"/>
              <w:rPr>
                <w:sz w:val="24"/>
                <w:szCs w:val="24"/>
                <w:highlight w:val="none"/>
              </w:rPr>
            </w:pPr>
          </w:p>
        </w:tc>
        <w:tc>
          <w:tcPr>
            <w:tcW w:w="1489" w:type="dxa"/>
            <w:vMerge w:val="continue"/>
            <w:shd w:val="clear" w:color="auto" w:fill="FFFFFF"/>
            <w:vAlign w:val="center"/>
          </w:tcPr>
          <w:p>
            <w:pPr>
              <w:spacing w:line="280" w:lineRule="exact"/>
              <w:rPr>
                <w:sz w:val="24"/>
                <w:szCs w:val="24"/>
                <w:highlight w:val="none"/>
              </w:rPr>
            </w:pPr>
          </w:p>
        </w:tc>
        <w:tc>
          <w:tcPr>
            <w:tcW w:w="2476" w:type="dxa"/>
            <w:gridSpan w:val="3"/>
            <w:shd w:val="clear" w:color="auto" w:fill="FFFFFF"/>
            <w:vAlign w:val="center"/>
          </w:tcPr>
          <w:p>
            <w:pPr>
              <w:spacing w:line="280" w:lineRule="exact"/>
              <w:ind w:firstLine="48" w:firstLineChars="20"/>
              <w:rPr>
                <w:rFonts w:ascii="Arial" w:hAnsi="Arial" w:cs="Arial"/>
                <w:sz w:val="24"/>
                <w:szCs w:val="24"/>
                <w:highlight w:val="none"/>
              </w:rPr>
            </w:pPr>
            <w:r>
              <w:rPr>
                <w:rFonts w:ascii="Arial" w:hAnsi="Arial" w:cs="Arial"/>
                <w:sz w:val="24"/>
                <w:szCs w:val="24"/>
                <w:highlight w:val="none"/>
              </w:rPr>
              <w:t>2</w:t>
            </w:r>
            <w:r>
              <w:rPr>
                <w:rFonts w:hint="eastAsia" w:ascii="Arial" w:cs="Arial"/>
                <w:sz w:val="24"/>
                <w:szCs w:val="24"/>
                <w:highlight w:val="none"/>
              </w:rPr>
              <w:t>.</w:t>
            </w:r>
          </w:p>
        </w:tc>
        <w:tc>
          <w:tcPr>
            <w:tcW w:w="1674" w:type="dxa"/>
            <w:gridSpan w:val="3"/>
            <w:vMerge w:val="continue"/>
            <w:shd w:val="clear" w:color="auto" w:fill="FFFFFF"/>
            <w:vAlign w:val="center"/>
          </w:tcPr>
          <w:p>
            <w:pPr>
              <w:spacing w:line="280" w:lineRule="exact"/>
              <w:ind w:right="10" w:rightChars="5" w:firstLine="98" w:firstLineChars="41"/>
              <w:rPr>
                <w:sz w:val="24"/>
                <w:szCs w:val="24"/>
                <w:highlight w:val="none"/>
              </w:rPr>
            </w:pPr>
          </w:p>
        </w:tc>
        <w:tc>
          <w:tcPr>
            <w:tcW w:w="2781" w:type="dxa"/>
            <w:gridSpan w:val="2"/>
            <w:shd w:val="clear" w:color="auto" w:fill="FFFFFF"/>
            <w:vAlign w:val="center"/>
          </w:tcPr>
          <w:p>
            <w:pPr>
              <w:spacing w:line="280" w:lineRule="exact"/>
              <w:ind w:firstLine="480" w:firstLineChars="200"/>
              <w:jc w:val="right"/>
              <w:rPr>
                <w:rFonts w:ascii="Arial" w:hAnsi="Arial" w:cs="Arial"/>
                <w:sz w:val="24"/>
                <w:szCs w:val="24"/>
                <w:highlight w:val="none"/>
              </w:rPr>
            </w:pPr>
            <w:r>
              <w:rPr>
                <w:rFonts w:ascii="Arial" w:cs="Arial"/>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Ex>
        <w:trPr>
          <w:cantSplit/>
          <w:trHeight w:val="502" w:hRule="atLeast"/>
          <w:jc w:val="center"/>
        </w:trPr>
        <w:tc>
          <w:tcPr>
            <w:tcW w:w="634" w:type="dxa"/>
            <w:vMerge w:val="continue"/>
            <w:shd w:val="clear" w:color="auto" w:fill="FFFFFF"/>
            <w:vAlign w:val="center"/>
          </w:tcPr>
          <w:p>
            <w:pPr>
              <w:spacing w:line="280" w:lineRule="exact"/>
              <w:rPr>
                <w:sz w:val="24"/>
                <w:szCs w:val="24"/>
                <w:highlight w:val="none"/>
              </w:rPr>
            </w:pPr>
          </w:p>
        </w:tc>
        <w:tc>
          <w:tcPr>
            <w:tcW w:w="1489" w:type="dxa"/>
            <w:vMerge w:val="continue"/>
            <w:shd w:val="clear" w:color="auto" w:fill="FFFFFF"/>
            <w:vAlign w:val="center"/>
          </w:tcPr>
          <w:p>
            <w:pPr>
              <w:spacing w:line="280" w:lineRule="exact"/>
              <w:rPr>
                <w:sz w:val="24"/>
                <w:szCs w:val="24"/>
                <w:highlight w:val="none"/>
              </w:rPr>
            </w:pPr>
          </w:p>
        </w:tc>
        <w:tc>
          <w:tcPr>
            <w:tcW w:w="2476" w:type="dxa"/>
            <w:gridSpan w:val="3"/>
            <w:shd w:val="clear" w:color="auto" w:fill="FFFFFF"/>
            <w:vAlign w:val="center"/>
          </w:tcPr>
          <w:p>
            <w:pPr>
              <w:spacing w:line="280" w:lineRule="exact"/>
              <w:ind w:firstLine="48" w:firstLineChars="20"/>
              <w:rPr>
                <w:rFonts w:ascii="Arial" w:hAnsi="Arial" w:cs="Arial"/>
                <w:sz w:val="24"/>
                <w:szCs w:val="24"/>
                <w:highlight w:val="none"/>
              </w:rPr>
            </w:pPr>
            <w:r>
              <w:rPr>
                <w:rFonts w:ascii="Arial" w:hAnsi="Arial" w:cs="Arial"/>
                <w:sz w:val="24"/>
                <w:szCs w:val="24"/>
                <w:highlight w:val="none"/>
              </w:rPr>
              <w:t>3</w:t>
            </w:r>
            <w:r>
              <w:rPr>
                <w:rFonts w:hint="eastAsia" w:ascii="Arial" w:cs="Arial"/>
                <w:sz w:val="24"/>
                <w:szCs w:val="24"/>
                <w:highlight w:val="none"/>
              </w:rPr>
              <w:t>.</w:t>
            </w:r>
          </w:p>
        </w:tc>
        <w:tc>
          <w:tcPr>
            <w:tcW w:w="1674" w:type="dxa"/>
            <w:gridSpan w:val="3"/>
            <w:vMerge w:val="continue"/>
            <w:shd w:val="clear" w:color="auto" w:fill="FFFFFF"/>
            <w:vAlign w:val="center"/>
          </w:tcPr>
          <w:p>
            <w:pPr>
              <w:spacing w:line="280" w:lineRule="exact"/>
              <w:ind w:right="10" w:rightChars="5" w:firstLine="98" w:firstLineChars="41"/>
              <w:rPr>
                <w:sz w:val="24"/>
                <w:szCs w:val="24"/>
                <w:highlight w:val="none"/>
              </w:rPr>
            </w:pPr>
          </w:p>
        </w:tc>
        <w:tc>
          <w:tcPr>
            <w:tcW w:w="2781" w:type="dxa"/>
            <w:gridSpan w:val="2"/>
            <w:shd w:val="clear" w:color="auto" w:fill="FFFFFF"/>
            <w:vAlign w:val="center"/>
          </w:tcPr>
          <w:p>
            <w:pPr>
              <w:spacing w:line="280" w:lineRule="exact"/>
              <w:ind w:firstLine="480" w:firstLineChars="200"/>
              <w:jc w:val="right"/>
              <w:rPr>
                <w:rFonts w:ascii="Arial" w:hAnsi="Arial" w:cs="Arial"/>
                <w:sz w:val="24"/>
                <w:szCs w:val="24"/>
                <w:highlight w:val="none"/>
              </w:rPr>
            </w:pPr>
            <w:r>
              <w:rPr>
                <w:rFonts w:ascii="Arial" w:cs="Arial"/>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Ex>
        <w:trPr>
          <w:cantSplit/>
          <w:trHeight w:val="555" w:hRule="atLeast"/>
          <w:jc w:val="center"/>
        </w:trPr>
        <w:tc>
          <w:tcPr>
            <w:tcW w:w="634" w:type="dxa"/>
            <w:vMerge w:val="restart"/>
            <w:shd w:val="clear" w:color="auto" w:fill="FFFFFF"/>
            <w:vAlign w:val="center"/>
          </w:tcPr>
          <w:p>
            <w:pPr>
              <w:spacing w:line="280" w:lineRule="exact"/>
              <w:jc w:val="center"/>
              <w:rPr>
                <w:sz w:val="24"/>
                <w:szCs w:val="24"/>
                <w:highlight w:val="none"/>
              </w:rPr>
            </w:pPr>
            <w:r>
              <w:rPr>
                <w:rFonts w:hint="eastAsia"/>
                <w:sz w:val="24"/>
                <w:szCs w:val="24"/>
                <w:highlight w:val="none"/>
              </w:rPr>
              <w:t>申请扶持项目</w:t>
            </w:r>
          </w:p>
          <w:p>
            <w:pPr>
              <w:spacing w:line="280" w:lineRule="exact"/>
              <w:jc w:val="center"/>
              <w:rPr>
                <w:sz w:val="24"/>
                <w:szCs w:val="24"/>
                <w:highlight w:val="none"/>
              </w:rPr>
            </w:pPr>
            <w:r>
              <w:rPr>
                <w:rFonts w:hint="eastAsia"/>
                <w:sz w:val="24"/>
                <w:szCs w:val="24"/>
                <w:highlight w:val="none"/>
              </w:rPr>
              <w:t>类型及</w:t>
            </w:r>
            <w:r>
              <w:rPr>
                <w:sz w:val="24"/>
                <w:szCs w:val="24"/>
                <w:highlight w:val="none"/>
              </w:rPr>
              <w:t>金额</w:t>
            </w:r>
          </w:p>
        </w:tc>
        <w:tc>
          <w:tcPr>
            <w:tcW w:w="4178" w:type="dxa"/>
            <w:gridSpan w:val="5"/>
            <w:tcBorders>
              <w:right w:val="single" w:color="auto" w:sz="4" w:space="0"/>
            </w:tcBorders>
            <w:shd w:val="clear" w:color="auto" w:fill="FFFFFF"/>
            <w:vAlign w:val="center"/>
          </w:tcPr>
          <w:p>
            <w:pPr>
              <w:adjustRightInd w:val="0"/>
              <w:snapToGrid w:val="0"/>
              <w:spacing w:line="280" w:lineRule="exact"/>
              <w:jc w:val="left"/>
              <w:rPr>
                <w:rFonts w:ascii="仿宋_GB2312"/>
                <w:sz w:val="24"/>
                <w:szCs w:val="24"/>
                <w:highlight w:val="none"/>
              </w:rPr>
            </w:pPr>
            <w:r>
              <w:rPr>
                <w:rFonts w:hint="eastAsia" w:asciiTheme="minorEastAsia" w:hAnsiTheme="minorEastAsia"/>
                <w:sz w:val="24"/>
                <w:szCs w:val="24"/>
                <w:highlight w:val="none"/>
              </w:rPr>
              <w:t xml:space="preserve">□优质企业奖励      </w:t>
            </w:r>
            <w:r>
              <w:rPr>
                <w:rFonts w:asciiTheme="minorEastAsia" w:hAnsiTheme="minorEastAsia"/>
                <w:sz w:val="24"/>
                <w:szCs w:val="24"/>
                <w:highlight w:val="none"/>
              </w:rPr>
              <w:t xml:space="preserve">          </w:t>
            </w:r>
            <w:r>
              <w:rPr>
                <w:rFonts w:hint="eastAsia" w:ascii="Arial" w:hAnsi="Arial" w:cs="Arial"/>
                <w:sz w:val="24"/>
                <w:szCs w:val="24"/>
                <w:highlight w:val="none"/>
              </w:rPr>
              <w:t>万元</w:t>
            </w:r>
          </w:p>
        </w:tc>
        <w:tc>
          <w:tcPr>
            <w:tcW w:w="4242" w:type="dxa"/>
            <w:gridSpan w:val="4"/>
            <w:tcBorders>
              <w:left w:val="single" w:color="auto" w:sz="4" w:space="0"/>
            </w:tcBorders>
            <w:shd w:val="clear" w:color="auto" w:fill="FFFFFF"/>
            <w:vAlign w:val="center"/>
          </w:tcPr>
          <w:p>
            <w:pPr>
              <w:spacing w:line="280" w:lineRule="exact"/>
              <w:rPr>
                <w:rFonts w:ascii="仿宋_GB2312"/>
                <w:sz w:val="24"/>
                <w:szCs w:val="24"/>
                <w:highlight w:val="none"/>
              </w:rPr>
            </w:pPr>
            <w:r>
              <w:rPr>
                <w:rFonts w:hint="eastAsia" w:asciiTheme="minorEastAsia" w:hAnsiTheme="minorEastAsia"/>
                <w:sz w:val="24"/>
                <w:szCs w:val="24"/>
                <w:highlight w:val="none"/>
              </w:rPr>
              <w:t>□办公</w:t>
            </w:r>
            <w:r>
              <w:rPr>
                <w:rFonts w:asciiTheme="minorEastAsia" w:hAnsiTheme="minorEastAsia"/>
                <w:sz w:val="24"/>
                <w:szCs w:val="24"/>
                <w:highlight w:val="none"/>
              </w:rPr>
              <w:t>用房租</w:t>
            </w:r>
            <w:r>
              <w:rPr>
                <w:rFonts w:hint="eastAsia" w:asciiTheme="minorEastAsia" w:hAnsiTheme="minorEastAsia"/>
                <w:sz w:val="24"/>
                <w:szCs w:val="24"/>
                <w:highlight w:val="none"/>
              </w:rPr>
              <w:t>金</w:t>
            </w:r>
            <w:r>
              <w:rPr>
                <w:rFonts w:asciiTheme="minorEastAsia" w:hAnsiTheme="minorEastAsia"/>
                <w:sz w:val="24"/>
                <w:szCs w:val="24"/>
                <w:highlight w:val="none"/>
              </w:rPr>
              <w:t>补贴</w:t>
            </w:r>
            <w:r>
              <w:rPr>
                <w:rFonts w:hint="eastAsia" w:asciiTheme="minorEastAsia" w:hAnsiTheme="minorEastAsia"/>
                <w:sz w:val="24"/>
                <w:szCs w:val="24"/>
                <w:highlight w:val="none"/>
              </w:rPr>
              <w:t xml:space="preserve">            </w:t>
            </w:r>
            <w:r>
              <w:rPr>
                <w:rFonts w:hint="eastAsia" w:ascii="Arial" w:hAnsi="Arial" w:cs="Arial"/>
                <w:sz w:val="24"/>
                <w:szCs w:val="24"/>
                <w:highlight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Ex>
        <w:trPr>
          <w:cantSplit/>
          <w:trHeight w:val="621" w:hRule="atLeast"/>
          <w:jc w:val="center"/>
        </w:trPr>
        <w:tc>
          <w:tcPr>
            <w:tcW w:w="634" w:type="dxa"/>
            <w:vMerge w:val="continue"/>
            <w:shd w:val="clear" w:color="auto" w:fill="FFFFFF"/>
            <w:vAlign w:val="center"/>
          </w:tcPr>
          <w:p>
            <w:pPr>
              <w:spacing w:line="280" w:lineRule="exact"/>
              <w:jc w:val="center"/>
              <w:rPr>
                <w:sz w:val="24"/>
                <w:szCs w:val="24"/>
                <w:highlight w:val="none"/>
              </w:rPr>
            </w:pPr>
          </w:p>
        </w:tc>
        <w:tc>
          <w:tcPr>
            <w:tcW w:w="4178" w:type="dxa"/>
            <w:gridSpan w:val="5"/>
            <w:tcBorders>
              <w:right w:val="single" w:color="auto" w:sz="4" w:space="0"/>
            </w:tcBorders>
            <w:shd w:val="clear" w:color="auto" w:fill="FFFFFF"/>
            <w:vAlign w:val="center"/>
          </w:tcPr>
          <w:p>
            <w:pPr>
              <w:adjustRightInd w:val="0"/>
              <w:snapToGrid w:val="0"/>
              <w:spacing w:line="280" w:lineRule="exact"/>
              <w:rPr>
                <w:rFonts w:ascii="仿宋_GB2312"/>
                <w:sz w:val="24"/>
                <w:szCs w:val="24"/>
                <w:highlight w:val="none"/>
              </w:rPr>
            </w:pPr>
            <w:r>
              <w:rPr>
                <w:rFonts w:hint="eastAsia" w:asciiTheme="minorEastAsia" w:hAnsiTheme="minorEastAsia"/>
                <w:sz w:val="24"/>
                <w:szCs w:val="24"/>
                <w:highlight w:val="none"/>
              </w:rPr>
              <w:t>□经营发展</w:t>
            </w:r>
            <w:r>
              <w:rPr>
                <w:rFonts w:asciiTheme="minorEastAsia" w:hAnsiTheme="minorEastAsia"/>
                <w:sz w:val="24"/>
                <w:szCs w:val="24"/>
                <w:highlight w:val="none"/>
              </w:rPr>
              <w:t>奖励</w:t>
            </w:r>
            <w:r>
              <w:rPr>
                <w:rFonts w:hint="eastAsia" w:asciiTheme="minorEastAsia" w:hAnsiTheme="minorEastAsia"/>
                <w:sz w:val="24"/>
                <w:szCs w:val="24"/>
                <w:highlight w:val="none"/>
              </w:rPr>
              <w:t xml:space="preserve">                </w:t>
            </w:r>
            <w:r>
              <w:rPr>
                <w:rFonts w:hint="eastAsia" w:ascii="Arial" w:hAnsi="Arial" w:cs="Arial"/>
                <w:sz w:val="24"/>
                <w:szCs w:val="24"/>
                <w:highlight w:val="none"/>
              </w:rPr>
              <w:t>万元</w:t>
            </w:r>
          </w:p>
        </w:tc>
        <w:tc>
          <w:tcPr>
            <w:tcW w:w="4242" w:type="dxa"/>
            <w:gridSpan w:val="4"/>
            <w:tcBorders>
              <w:left w:val="single" w:color="auto" w:sz="4" w:space="0"/>
            </w:tcBorders>
            <w:shd w:val="clear" w:color="auto" w:fill="FFFFFF"/>
            <w:vAlign w:val="center"/>
          </w:tcPr>
          <w:p>
            <w:pPr>
              <w:spacing w:line="280" w:lineRule="exact"/>
              <w:rPr>
                <w:rFonts w:ascii="仿宋_GB2312"/>
                <w:sz w:val="24"/>
                <w:szCs w:val="24"/>
                <w:highlight w:val="none"/>
              </w:rPr>
            </w:pPr>
            <w:r>
              <w:rPr>
                <w:rFonts w:hint="eastAsia" w:asciiTheme="minorEastAsia" w:hAnsiTheme="minorEastAsia"/>
                <w:sz w:val="24"/>
                <w:szCs w:val="24"/>
                <w:highlight w:val="none"/>
              </w:rPr>
              <w:t>□办公</w:t>
            </w:r>
            <w:r>
              <w:rPr>
                <w:rFonts w:asciiTheme="minorEastAsia" w:hAnsiTheme="minorEastAsia"/>
                <w:sz w:val="24"/>
                <w:szCs w:val="24"/>
                <w:highlight w:val="none"/>
              </w:rPr>
              <w:t>用房购置补贴</w:t>
            </w:r>
            <w:r>
              <w:rPr>
                <w:rFonts w:hint="eastAsia" w:asciiTheme="minorEastAsia" w:hAnsiTheme="minorEastAsia"/>
                <w:sz w:val="24"/>
                <w:szCs w:val="24"/>
                <w:highlight w:val="none"/>
              </w:rPr>
              <w:t xml:space="preserve">            </w:t>
            </w:r>
            <w:r>
              <w:rPr>
                <w:rFonts w:hint="eastAsia" w:ascii="Arial" w:hAnsi="Arial" w:cs="Arial"/>
                <w:sz w:val="24"/>
                <w:szCs w:val="24"/>
                <w:highlight w:val="none"/>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Ex>
        <w:trPr>
          <w:cantSplit/>
          <w:trHeight w:val="617" w:hRule="atLeast"/>
          <w:jc w:val="center"/>
        </w:trPr>
        <w:tc>
          <w:tcPr>
            <w:tcW w:w="634" w:type="dxa"/>
            <w:vMerge w:val="continue"/>
            <w:shd w:val="clear" w:color="auto" w:fill="FFFFFF"/>
            <w:vAlign w:val="center"/>
          </w:tcPr>
          <w:p>
            <w:pPr>
              <w:spacing w:line="280" w:lineRule="exact"/>
              <w:jc w:val="center"/>
              <w:rPr>
                <w:sz w:val="24"/>
                <w:szCs w:val="24"/>
                <w:highlight w:val="none"/>
              </w:rPr>
            </w:pPr>
          </w:p>
        </w:tc>
        <w:tc>
          <w:tcPr>
            <w:tcW w:w="4178" w:type="dxa"/>
            <w:gridSpan w:val="5"/>
            <w:tcBorders>
              <w:right w:val="single" w:color="auto" w:sz="4" w:space="0"/>
            </w:tcBorders>
            <w:shd w:val="clear" w:color="auto" w:fill="FFFFFF"/>
            <w:vAlign w:val="center"/>
          </w:tcPr>
          <w:p>
            <w:pPr>
              <w:adjustRightInd w:val="0"/>
              <w:snapToGrid w:val="0"/>
              <w:spacing w:line="280" w:lineRule="exact"/>
              <w:rPr>
                <w:rFonts w:ascii="仿宋_GB2312"/>
                <w:sz w:val="24"/>
                <w:szCs w:val="24"/>
                <w:highlight w:val="none"/>
              </w:rPr>
            </w:pPr>
            <w:r>
              <w:rPr>
                <w:rFonts w:hint="eastAsia" w:asciiTheme="minorEastAsia" w:hAnsiTheme="minorEastAsia"/>
                <w:sz w:val="24"/>
                <w:szCs w:val="24"/>
                <w:highlight w:val="none"/>
              </w:rPr>
              <w:t>□专业活动</w:t>
            </w:r>
            <w:r>
              <w:rPr>
                <w:rFonts w:asciiTheme="minorEastAsia" w:hAnsiTheme="minorEastAsia"/>
                <w:sz w:val="24"/>
                <w:szCs w:val="24"/>
                <w:highlight w:val="none"/>
              </w:rPr>
              <w:t>补贴</w:t>
            </w:r>
            <w:r>
              <w:rPr>
                <w:rFonts w:hint="eastAsia" w:asciiTheme="minorEastAsia" w:hAnsiTheme="minorEastAsia"/>
                <w:sz w:val="24"/>
                <w:szCs w:val="24"/>
                <w:highlight w:val="none"/>
              </w:rPr>
              <w:t xml:space="preserve">              </w:t>
            </w:r>
            <w:r>
              <w:rPr>
                <w:rFonts w:hint="eastAsia" w:ascii="Arial" w:hAnsi="Arial" w:cs="Arial"/>
                <w:sz w:val="24"/>
                <w:szCs w:val="24"/>
                <w:highlight w:val="none"/>
              </w:rPr>
              <w:t>万元</w:t>
            </w:r>
          </w:p>
        </w:tc>
        <w:tc>
          <w:tcPr>
            <w:tcW w:w="4242" w:type="dxa"/>
            <w:gridSpan w:val="4"/>
            <w:tcBorders>
              <w:left w:val="single" w:color="auto" w:sz="4" w:space="0"/>
            </w:tcBorders>
            <w:shd w:val="clear" w:color="auto" w:fill="FFFFFF"/>
            <w:vAlign w:val="center"/>
          </w:tcPr>
          <w:p>
            <w:pPr>
              <w:spacing w:line="280" w:lineRule="exact"/>
              <w:rPr>
                <w:rFonts w:ascii="仿宋_GB2312"/>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Ex>
        <w:trPr>
          <w:cantSplit/>
          <w:trHeight w:val="1894" w:hRule="atLeast"/>
          <w:jc w:val="center"/>
        </w:trPr>
        <w:tc>
          <w:tcPr>
            <w:tcW w:w="634" w:type="dxa"/>
            <w:tcBorders>
              <w:bottom w:val="single" w:color="auto" w:sz="4" w:space="0"/>
            </w:tcBorders>
            <w:shd w:val="clear" w:color="auto" w:fill="FFFFFF"/>
            <w:vAlign w:val="center"/>
          </w:tcPr>
          <w:p>
            <w:pPr>
              <w:spacing w:line="280" w:lineRule="exact"/>
              <w:jc w:val="center"/>
              <w:rPr>
                <w:sz w:val="24"/>
                <w:szCs w:val="24"/>
                <w:highlight w:val="none"/>
              </w:rPr>
            </w:pPr>
            <w:r>
              <w:rPr>
                <w:rFonts w:hint="eastAsia"/>
                <w:sz w:val="24"/>
                <w:szCs w:val="24"/>
                <w:highlight w:val="none"/>
              </w:rPr>
              <w:t>申请</w:t>
            </w:r>
          </w:p>
          <w:p>
            <w:pPr>
              <w:spacing w:line="280" w:lineRule="exact"/>
              <w:jc w:val="center"/>
              <w:rPr>
                <w:sz w:val="24"/>
                <w:szCs w:val="24"/>
                <w:highlight w:val="none"/>
              </w:rPr>
            </w:pPr>
            <w:r>
              <w:rPr>
                <w:rFonts w:hint="eastAsia"/>
                <w:sz w:val="24"/>
                <w:szCs w:val="24"/>
                <w:highlight w:val="none"/>
              </w:rPr>
              <w:t>单位</w:t>
            </w:r>
          </w:p>
          <w:p>
            <w:pPr>
              <w:spacing w:line="280" w:lineRule="exact"/>
              <w:jc w:val="center"/>
              <w:rPr>
                <w:sz w:val="24"/>
                <w:szCs w:val="24"/>
                <w:highlight w:val="none"/>
              </w:rPr>
            </w:pPr>
            <w:r>
              <w:rPr>
                <w:rFonts w:hint="eastAsia"/>
                <w:sz w:val="24"/>
                <w:szCs w:val="24"/>
                <w:highlight w:val="none"/>
              </w:rPr>
              <w:t>申明</w:t>
            </w:r>
          </w:p>
        </w:tc>
        <w:tc>
          <w:tcPr>
            <w:tcW w:w="8420" w:type="dxa"/>
            <w:gridSpan w:val="9"/>
            <w:tcBorders>
              <w:bottom w:val="single" w:color="auto" w:sz="4" w:space="0"/>
            </w:tcBorders>
            <w:shd w:val="clear" w:color="auto" w:fill="FFFFFF"/>
          </w:tcPr>
          <w:p>
            <w:pPr>
              <w:spacing w:line="280" w:lineRule="exact"/>
              <w:ind w:firstLine="600" w:firstLineChars="250"/>
              <w:rPr>
                <w:sz w:val="24"/>
                <w:szCs w:val="24"/>
                <w:highlight w:val="none"/>
              </w:rPr>
            </w:pPr>
            <w:r>
              <w:rPr>
                <w:rFonts w:hint="eastAsia"/>
                <w:sz w:val="24"/>
                <w:szCs w:val="24"/>
                <w:highlight w:val="none"/>
              </w:rPr>
              <w:t>本公司所提供申请资料的合法性、真实性、准确性和完整性负责如有虚假，本单位依法承担相应的法律责任。</w:t>
            </w:r>
          </w:p>
          <w:p>
            <w:pPr>
              <w:spacing w:line="280" w:lineRule="exact"/>
              <w:ind w:right="420"/>
              <w:rPr>
                <w:sz w:val="24"/>
                <w:szCs w:val="24"/>
                <w:highlight w:val="none"/>
              </w:rPr>
            </w:pPr>
          </w:p>
          <w:p>
            <w:pPr>
              <w:spacing w:line="280" w:lineRule="exact"/>
              <w:ind w:right="420" w:firstLine="5640" w:firstLineChars="2350"/>
              <w:rPr>
                <w:sz w:val="24"/>
                <w:szCs w:val="24"/>
                <w:highlight w:val="none"/>
              </w:rPr>
            </w:pPr>
            <w:r>
              <w:rPr>
                <w:rFonts w:hint="eastAsia"/>
                <w:sz w:val="24"/>
                <w:szCs w:val="24"/>
                <w:highlight w:val="none"/>
              </w:rPr>
              <w:t>法定代表人签字：</w:t>
            </w:r>
          </w:p>
          <w:p>
            <w:pPr>
              <w:spacing w:line="280" w:lineRule="exact"/>
              <w:ind w:right="420"/>
              <w:jc w:val="center"/>
              <w:rPr>
                <w:sz w:val="24"/>
                <w:szCs w:val="24"/>
                <w:highlight w:val="none"/>
              </w:rPr>
            </w:pPr>
            <w:r>
              <w:rPr>
                <w:rFonts w:hint="eastAsia"/>
                <w:sz w:val="24"/>
                <w:szCs w:val="24"/>
                <w:highlight w:val="none"/>
              </w:rPr>
              <w:t xml:space="preserve">                                           （单位公章）</w:t>
            </w:r>
          </w:p>
          <w:p>
            <w:pPr>
              <w:spacing w:line="280" w:lineRule="exact"/>
              <w:ind w:right="267" w:rightChars="127"/>
              <w:jc w:val="center"/>
              <w:rPr>
                <w:sz w:val="24"/>
                <w:szCs w:val="24"/>
                <w:highlight w:val="none"/>
              </w:rPr>
            </w:pPr>
            <w:r>
              <w:rPr>
                <w:rFonts w:hint="eastAsia"/>
                <w:sz w:val="24"/>
                <w:szCs w:val="24"/>
                <w:highlight w:val="none"/>
              </w:rPr>
              <w:t xml:space="preserve">                                            </w:t>
            </w:r>
          </w:p>
          <w:p>
            <w:pPr>
              <w:spacing w:line="280" w:lineRule="exact"/>
              <w:ind w:right="267" w:rightChars="127"/>
              <w:jc w:val="center"/>
              <w:rPr>
                <w:sz w:val="24"/>
                <w:szCs w:val="24"/>
                <w:highlight w:val="none"/>
              </w:rPr>
            </w:pPr>
            <w:r>
              <w:rPr>
                <w:sz w:val="24"/>
                <w:szCs w:val="24"/>
                <w:highlight w:val="none"/>
              </w:rPr>
              <w:t xml:space="preserve">                                            </w:t>
            </w:r>
            <w:r>
              <w:rPr>
                <w:rFonts w:hint="eastAsia"/>
                <w:sz w:val="24"/>
                <w:szCs w:val="24"/>
                <w:highlight w:val="none"/>
              </w:rPr>
              <w:t xml:space="preserve">  年   月   日</w:t>
            </w:r>
          </w:p>
        </w:tc>
      </w:tr>
    </w:tbl>
    <w:p>
      <w:pPr>
        <w:rPr>
          <w:rFonts w:ascii="仿宋_GB2312" w:eastAsia="仿宋_GB2312"/>
          <w:sz w:val="32"/>
          <w:szCs w:val="32"/>
          <w:highlight w:val="none"/>
        </w:rPr>
      </w:pPr>
      <w:r>
        <w:rPr>
          <w:rFonts w:ascii="仿宋_GB2312" w:eastAsia="仿宋_GB2312"/>
          <w:sz w:val="32"/>
          <w:szCs w:val="32"/>
          <w:highlight w:val="none"/>
        </w:rPr>
        <w:br w:type="page"/>
      </w:r>
    </w:p>
    <w:p>
      <w:pPr>
        <w:adjustRightInd w:val="0"/>
        <w:jc w:val="left"/>
        <w:rPr>
          <w:rFonts w:ascii="黑体" w:hAnsi="黑体" w:eastAsia="黑体" w:cs="黑体"/>
          <w:highlight w:val="none"/>
        </w:rPr>
      </w:pPr>
      <w:r>
        <w:rPr>
          <w:rFonts w:hint="eastAsia" w:ascii="黑体" w:hAnsi="黑体" w:eastAsia="黑体" w:cs="黑体"/>
          <w:highlight w:val="none"/>
        </w:rPr>
        <w:t>表2</w:t>
      </w:r>
    </w:p>
    <w:p>
      <w:pPr>
        <w:pStyle w:val="2"/>
        <w:adjustRightInd w:val="0"/>
        <w:spacing w:before="0" w:beforeAutospacing="0" w:after="0" w:afterAutospacing="0" w:line="540" w:lineRule="exact"/>
        <w:jc w:val="center"/>
        <w:rPr>
          <w:rFonts w:cs="仿宋_GB2312" w:asciiTheme="minorEastAsia" w:hAnsiTheme="minorEastAsia" w:eastAsiaTheme="minorEastAsia"/>
          <w:sz w:val="36"/>
          <w:szCs w:val="36"/>
          <w:highlight w:val="none"/>
        </w:rPr>
      </w:pPr>
      <w:bookmarkStart w:id="13" w:name="_Toc17055"/>
      <w:bookmarkStart w:id="14" w:name="_Toc3484"/>
      <w:bookmarkStart w:id="15" w:name="_Toc29081"/>
      <w:r>
        <w:rPr>
          <w:rFonts w:hint="eastAsia" w:cs="仿宋_GB2312" w:asciiTheme="minorEastAsia" w:hAnsiTheme="minorEastAsia" w:eastAsiaTheme="minorEastAsia"/>
          <w:sz w:val="36"/>
          <w:szCs w:val="36"/>
          <w:highlight w:val="none"/>
        </w:rPr>
        <w:t>租赁办公用房信息明细表</w:t>
      </w:r>
      <w:bookmarkEnd w:id="13"/>
      <w:bookmarkEnd w:id="14"/>
      <w:bookmarkEnd w:id="15"/>
    </w:p>
    <w:tbl>
      <w:tblPr>
        <w:tblStyle w:val="15"/>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0"/>
        <w:gridCol w:w="540"/>
        <w:gridCol w:w="541"/>
        <w:gridCol w:w="1079"/>
        <w:gridCol w:w="1071"/>
        <w:gridCol w:w="1089"/>
        <w:gridCol w:w="1980"/>
        <w:gridCol w:w="998"/>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highlight w:val="none"/>
              </w:rPr>
            </w:pPr>
            <w:r>
              <w:rPr>
                <w:rFonts w:hint="eastAsia" w:ascii="黑体" w:eastAsia="黑体"/>
                <w:highlight w:val="none"/>
              </w:rPr>
              <w:t>合同名称</w:t>
            </w:r>
          </w:p>
        </w:tc>
        <w:tc>
          <w:tcPr>
            <w:tcW w:w="8100" w:type="dxa"/>
            <w:gridSpan w:val="8"/>
            <w:vAlign w:val="center"/>
          </w:tcPr>
          <w:p>
            <w:pPr>
              <w:snapToGrid w:val="0"/>
              <w:spacing w:line="240" w:lineRule="atLeast"/>
              <w:rPr>
                <w:rFonts w:ascii="黑体" w:eastAsia="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highlight w:val="none"/>
              </w:rPr>
            </w:pPr>
            <w:r>
              <w:rPr>
                <w:rFonts w:hint="eastAsia" w:ascii="黑体" w:eastAsia="黑体"/>
                <w:highlight w:val="none"/>
              </w:rPr>
              <w:t>物业名称</w:t>
            </w:r>
          </w:p>
        </w:tc>
        <w:tc>
          <w:tcPr>
            <w:tcW w:w="8100" w:type="dxa"/>
            <w:gridSpan w:val="8"/>
            <w:vAlign w:val="center"/>
          </w:tcPr>
          <w:p>
            <w:pPr>
              <w:snapToGrid w:val="0"/>
              <w:spacing w:line="240" w:lineRule="atLeast"/>
              <w:rPr>
                <w:rFonts w:ascii="黑体" w:eastAsia="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highlight w:val="none"/>
              </w:rPr>
            </w:pPr>
            <w:r>
              <w:rPr>
                <w:rFonts w:hint="eastAsia" w:ascii="黑体" w:eastAsia="黑体"/>
                <w:highlight w:val="none"/>
              </w:rPr>
              <w:t>物业地址</w:t>
            </w:r>
          </w:p>
        </w:tc>
        <w:tc>
          <w:tcPr>
            <w:tcW w:w="8100" w:type="dxa"/>
            <w:gridSpan w:val="8"/>
            <w:vAlign w:val="center"/>
          </w:tcPr>
          <w:p>
            <w:pPr>
              <w:snapToGrid w:val="0"/>
              <w:spacing w:line="240" w:lineRule="atLeast"/>
              <w:rPr>
                <w:rFonts w:ascii="黑体" w:eastAsia="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highlight w:val="none"/>
              </w:rPr>
            </w:pPr>
            <w:r>
              <w:rPr>
                <w:rFonts w:hint="eastAsia" w:ascii="黑体" w:eastAsia="黑体"/>
                <w:highlight w:val="none"/>
              </w:rPr>
              <w:t>起租时间</w:t>
            </w:r>
          </w:p>
        </w:tc>
        <w:tc>
          <w:tcPr>
            <w:tcW w:w="4320" w:type="dxa"/>
            <w:gridSpan w:val="5"/>
            <w:vAlign w:val="center"/>
          </w:tcPr>
          <w:p>
            <w:pPr>
              <w:snapToGrid w:val="0"/>
              <w:spacing w:line="240" w:lineRule="atLeast"/>
              <w:rPr>
                <w:rFonts w:ascii="黑体" w:eastAsia="黑体"/>
                <w:highlight w:val="none"/>
              </w:rPr>
            </w:pPr>
            <w:r>
              <w:rPr>
                <w:rFonts w:ascii="宋体" w:hAnsi="宋体"/>
                <w:bCs/>
                <w:szCs w:val="21"/>
                <w:highlight w:val="none"/>
              </w:rPr>
              <w:t xml:space="preserve">    </w:t>
            </w:r>
            <w:r>
              <w:rPr>
                <w:rFonts w:hint="eastAsia" w:ascii="宋体" w:hAnsi="宋体"/>
                <w:bCs/>
                <w:szCs w:val="21"/>
                <w:highlight w:val="none"/>
              </w:rPr>
              <w:t>年</w:t>
            </w:r>
            <w:r>
              <w:rPr>
                <w:rFonts w:ascii="宋体" w:hAnsi="宋体"/>
                <w:bCs/>
                <w:szCs w:val="21"/>
                <w:highlight w:val="none"/>
              </w:rPr>
              <w:t xml:space="preserve">  </w:t>
            </w:r>
            <w:r>
              <w:rPr>
                <w:rFonts w:hint="eastAsia" w:ascii="宋体" w:hAnsi="宋体"/>
                <w:bCs/>
                <w:szCs w:val="21"/>
                <w:highlight w:val="none"/>
              </w:rPr>
              <w:t>月</w:t>
            </w:r>
            <w:r>
              <w:rPr>
                <w:rFonts w:ascii="宋体" w:hAnsi="宋体"/>
                <w:bCs/>
                <w:szCs w:val="21"/>
                <w:highlight w:val="none"/>
              </w:rPr>
              <w:t xml:space="preserve">  </w:t>
            </w:r>
            <w:r>
              <w:rPr>
                <w:rFonts w:hint="eastAsia" w:ascii="宋体" w:hAnsi="宋体"/>
                <w:bCs/>
                <w:szCs w:val="21"/>
                <w:highlight w:val="none"/>
              </w:rPr>
              <w:t>日</w:t>
            </w:r>
          </w:p>
        </w:tc>
        <w:tc>
          <w:tcPr>
            <w:tcW w:w="1980" w:type="dxa"/>
            <w:vAlign w:val="center"/>
          </w:tcPr>
          <w:p>
            <w:pPr>
              <w:snapToGrid w:val="0"/>
              <w:spacing w:line="240" w:lineRule="atLeast"/>
              <w:rPr>
                <w:rFonts w:ascii="黑体" w:eastAsia="黑体"/>
                <w:highlight w:val="none"/>
              </w:rPr>
            </w:pPr>
            <w:commentRangeStart w:id="10"/>
            <w:r>
              <w:rPr>
                <w:rFonts w:hint="eastAsia" w:ascii="黑体" w:eastAsia="黑体"/>
                <w:highlight w:val="none"/>
              </w:rPr>
              <w:t>租赁面积</w:t>
            </w:r>
            <w:r>
              <w:rPr>
                <w:bCs/>
                <w:szCs w:val="21"/>
                <w:highlight w:val="none"/>
              </w:rPr>
              <w:t>( m</w:t>
            </w:r>
            <w:r>
              <w:rPr>
                <w:bCs/>
                <w:szCs w:val="21"/>
                <w:highlight w:val="none"/>
                <w:vertAlign w:val="superscript"/>
              </w:rPr>
              <w:t>2</w:t>
            </w:r>
            <w:r>
              <w:rPr>
                <w:bCs/>
                <w:szCs w:val="21"/>
                <w:highlight w:val="none"/>
              </w:rPr>
              <w:t>)</w:t>
            </w:r>
            <w:commentRangeEnd w:id="10"/>
            <w:r>
              <w:rPr>
                <w:highlight w:val="none"/>
              </w:rPr>
              <w:commentReference w:id="10"/>
            </w:r>
          </w:p>
        </w:tc>
        <w:tc>
          <w:tcPr>
            <w:tcW w:w="1800" w:type="dxa"/>
            <w:gridSpan w:val="2"/>
            <w:vAlign w:val="center"/>
          </w:tcPr>
          <w:p>
            <w:pPr>
              <w:snapToGrid w:val="0"/>
              <w:spacing w:line="240" w:lineRule="atLeast"/>
              <w:rPr>
                <w:rFonts w:ascii="黑体" w:eastAsia="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620" w:type="dxa"/>
            <w:gridSpan w:val="3"/>
            <w:vAlign w:val="center"/>
          </w:tcPr>
          <w:p>
            <w:pPr>
              <w:snapToGrid w:val="0"/>
              <w:spacing w:line="240" w:lineRule="atLeast"/>
              <w:rPr>
                <w:rFonts w:ascii="黑体" w:eastAsia="黑体"/>
                <w:highlight w:val="none"/>
              </w:rPr>
            </w:pPr>
            <w:r>
              <w:rPr>
                <w:rFonts w:hint="eastAsia"/>
                <w:bCs/>
                <w:szCs w:val="21"/>
                <w:highlight w:val="none"/>
              </w:rPr>
              <w:t>申请资助时段</w:t>
            </w:r>
          </w:p>
        </w:tc>
        <w:tc>
          <w:tcPr>
            <w:tcW w:w="3780" w:type="dxa"/>
            <w:gridSpan w:val="4"/>
            <w:vAlign w:val="center"/>
          </w:tcPr>
          <w:p>
            <w:pPr>
              <w:snapToGrid w:val="0"/>
              <w:spacing w:line="240" w:lineRule="atLeast"/>
              <w:rPr>
                <w:rFonts w:ascii="黑体" w:eastAsia="黑体"/>
                <w:highlight w:val="none"/>
              </w:rPr>
            </w:pPr>
            <w:r>
              <w:rPr>
                <w:rFonts w:ascii="宋体" w:hAnsi="宋体"/>
                <w:bCs/>
                <w:szCs w:val="21"/>
                <w:highlight w:val="none"/>
              </w:rPr>
              <w:t xml:space="preserve">    </w:t>
            </w:r>
            <w:r>
              <w:rPr>
                <w:rFonts w:hint="eastAsia" w:ascii="宋体" w:hAnsi="宋体"/>
                <w:bCs/>
                <w:szCs w:val="21"/>
                <w:highlight w:val="none"/>
              </w:rPr>
              <w:t>年</w:t>
            </w:r>
            <w:r>
              <w:rPr>
                <w:rFonts w:ascii="宋体" w:hAnsi="宋体"/>
                <w:bCs/>
                <w:szCs w:val="21"/>
                <w:highlight w:val="none"/>
              </w:rPr>
              <w:t xml:space="preserve">  </w:t>
            </w:r>
            <w:r>
              <w:rPr>
                <w:rFonts w:hint="eastAsia" w:ascii="宋体" w:hAnsi="宋体"/>
                <w:bCs/>
                <w:szCs w:val="21"/>
                <w:highlight w:val="none"/>
              </w:rPr>
              <w:t>月</w:t>
            </w:r>
            <w:r>
              <w:rPr>
                <w:rFonts w:ascii="宋体" w:hAnsi="宋体"/>
                <w:bCs/>
                <w:szCs w:val="21"/>
                <w:highlight w:val="none"/>
              </w:rPr>
              <w:t xml:space="preserve">  </w:t>
            </w:r>
            <w:r>
              <w:rPr>
                <w:rFonts w:hint="eastAsia" w:ascii="宋体" w:hAnsi="宋体"/>
                <w:bCs/>
                <w:szCs w:val="21"/>
                <w:highlight w:val="none"/>
              </w:rPr>
              <w:t>日至</w:t>
            </w:r>
            <w:r>
              <w:rPr>
                <w:rFonts w:ascii="宋体" w:hAnsi="宋体"/>
                <w:bCs/>
                <w:szCs w:val="21"/>
                <w:highlight w:val="none"/>
              </w:rPr>
              <w:t xml:space="preserve">     </w:t>
            </w:r>
            <w:r>
              <w:rPr>
                <w:rFonts w:hint="eastAsia" w:ascii="宋体" w:hAnsi="宋体"/>
                <w:bCs/>
                <w:szCs w:val="21"/>
                <w:highlight w:val="none"/>
              </w:rPr>
              <w:t>年</w:t>
            </w:r>
            <w:r>
              <w:rPr>
                <w:rFonts w:ascii="宋体" w:hAnsi="宋体"/>
                <w:bCs/>
                <w:szCs w:val="21"/>
                <w:highlight w:val="none"/>
              </w:rPr>
              <w:t xml:space="preserve">  </w:t>
            </w:r>
            <w:r>
              <w:rPr>
                <w:rFonts w:hint="eastAsia" w:ascii="宋体" w:hAnsi="宋体"/>
                <w:bCs/>
                <w:szCs w:val="21"/>
                <w:highlight w:val="none"/>
              </w:rPr>
              <w:t>月</w:t>
            </w:r>
            <w:r>
              <w:rPr>
                <w:rFonts w:ascii="宋体" w:hAnsi="宋体"/>
                <w:bCs/>
                <w:szCs w:val="21"/>
                <w:highlight w:val="none"/>
              </w:rPr>
              <w:t xml:space="preserve">  </w:t>
            </w:r>
            <w:r>
              <w:rPr>
                <w:rFonts w:hint="eastAsia" w:ascii="宋体" w:hAnsi="宋体"/>
                <w:bCs/>
                <w:szCs w:val="21"/>
                <w:highlight w:val="none"/>
              </w:rPr>
              <w:t>日</w:t>
            </w:r>
          </w:p>
        </w:tc>
        <w:tc>
          <w:tcPr>
            <w:tcW w:w="1980" w:type="dxa"/>
            <w:vAlign w:val="center"/>
          </w:tcPr>
          <w:p>
            <w:pPr>
              <w:snapToGrid w:val="0"/>
              <w:spacing w:line="240" w:lineRule="atLeast"/>
              <w:rPr>
                <w:rFonts w:ascii="黑体" w:eastAsia="黑体"/>
                <w:highlight w:val="none"/>
              </w:rPr>
            </w:pPr>
            <w:r>
              <w:rPr>
                <w:rFonts w:hint="eastAsia"/>
                <w:bCs/>
                <w:szCs w:val="21"/>
                <w:highlight w:val="none"/>
              </w:rPr>
              <w:t>申请资助时段租金合计（元）</w:t>
            </w:r>
          </w:p>
        </w:tc>
        <w:tc>
          <w:tcPr>
            <w:tcW w:w="1800" w:type="dxa"/>
            <w:gridSpan w:val="2"/>
            <w:vAlign w:val="center"/>
          </w:tcPr>
          <w:p>
            <w:pPr>
              <w:snapToGrid w:val="0"/>
              <w:spacing w:line="240" w:lineRule="atLeast"/>
              <w:rPr>
                <w:rFonts w:ascii="黑体" w:eastAsia="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jc w:val="center"/>
              <w:rPr>
                <w:rFonts w:ascii="黑体" w:eastAsia="黑体"/>
                <w:highlight w:val="none"/>
              </w:rPr>
            </w:pPr>
            <w:r>
              <w:rPr>
                <w:rFonts w:hint="eastAsia" w:ascii="黑体" w:eastAsia="黑体"/>
                <w:highlight w:val="none"/>
              </w:rPr>
              <w:t>序号</w:t>
            </w:r>
          </w:p>
        </w:tc>
        <w:tc>
          <w:tcPr>
            <w:tcW w:w="1441" w:type="dxa"/>
            <w:gridSpan w:val="3"/>
            <w:vAlign w:val="center"/>
          </w:tcPr>
          <w:p>
            <w:pPr>
              <w:snapToGrid w:val="0"/>
              <w:spacing w:line="240" w:lineRule="atLeast"/>
              <w:jc w:val="center"/>
              <w:rPr>
                <w:rFonts w:ascii="黑体" w:eastAsia="黑体"/>
                <w:highlight w:val="none"/>
              </w:rPr>
            </w:pPr>
            <w:r>
              <w:rPr>
                <w:rFonts w:hint="eastAsia" w:ascii="黑体" w:eastAsia="黑体"/>
                <w:highlight w:val="none"/>
              </w:rPr>
              <w:t>支付租金</w:t>
            </w:r>
          </w:p>
          <w:p>
            <w:pPr>
              <w:snapToGrid w:val="0"/>
              <w:spacing w:line="240" w:lineRule="atLeast"/>
              <w:jc w:val="center"/>
              <w:rPr>
                <w:rFonts w:ascii="黑体" w:eastAsia="黑体"/>
                <w:highlight w:val="none"/>
              </w:rPr>
            </w:pPr>
            <w:r>
              <w:rPr>
                <w:rFonts w:hint="eastAsia" w:ascii="黑体" w:eastAsia="黑体"/>
                <w:highlight w:val="none"/>
              </w:rPr>
              <w:t>时段</w:t>
            </w:r>
          </w:p>
        </w:tc>
        <w:tc>
          <w:tcPr>
            <w:tcW w:w="1079" w:type="dxa"/>
            <w:vAlign w:val="center"/>
          </w:tcPr>
          <w:p>
            <w:pPr>
              <w:snapToGrid w:val="0"/>
              <w:spacing w:line="240" w:lineRule="atLeast"/>
              <w:jc w:val="center"/>
              <w:rPr>
                <w:rFonts w:ascii="黑体" w:eastAsia="黑体"/>
                <w:highlight w:val="none"/>
              </w:rPr>
            </w:pPr>
            <w:r>
              <w:rPr>
                <w:rFonts w:hint="eastAsia" w:ascii="黑体" w:eastAsia="黑体"/>
                <w:highlight w:val="none"/>
              </w:rPr>
              <w:t>付款金额</w:t>
            </w:r>
          </w:p>
        </w:tc>
        <w:tc>
          <w:tcPr>
            <w:tcW w:w="1071" w:type="dxa"/>
            <w:vAlign w:val="center"/>
          </w:tcPr>
          <w:p>
            <w:pPr>
              <w:snapToGrid w:val="0"/>
              <w:spacing w:line="240" w:lineRule="atLeast"/>
              <w:jc w:val="center"/>
              <w:rPr>
                <w:rFonts w:ascii="黑体" w:eastAsia="黑体"/>
                <w:highlight w:val="none"/>
              </w:rPr>
            </w:pPr>
            <w:r>
              <w:rPr>
                <w:rFonts w:hint="eastAsia" w:ascii="黑体" w:eastAsia="黑体"/>
                <w:highlight w:val="none"/>
              </w:rPr>
              <w:t>付款时间</w:t>
            </w:r>
          </w:p>
        </w:tc>
        <w:tc>
          <w:tcPr>
            <w:tcW w:w="1089" w:type="dxa"/>
            <w:vAlign w:val="center"/>
          </w:tcPr>
          <w:p>
            <w:pPr>
              <w:snapToGrid w:val="0"/>
              <w:spacing w:line="240" w:lineRule="atLeast"/>
              <w:jc w:val="center"/>
              <w:rPr>
                <w:rFonts w:ascii="黑体" w:eastAsia="黑体"/>
                <w:highlight w:val="none"/>
              </w:rPr>
            </w:pPr>
            <w:r>
              <w:rPr>
                <w:rFonts w:hint="eastAsia" w:ascii="黑体" w:eastAsia="黑体"/>
                <w:highlight w:val="none"/>
              </w:rPr>
              <w:t>发票时间</w:t>
            </w:r>
          </w:p>
        </w:tc>
        <w:tc>
          <w:tcPr>
            <w:tcW w:w="1980" w:type="dxa"/>
            <w:vAlign w:val="center"/>
          </w:tcPr>
          <w:p>
            <w:pPr>
              <w:snapToGrid w:val="0"/>
              <w:spacing w:line="240" w:lineRule="atLeast"/>
              <w:jc w:val="center"/>
              <w:rPr>
                <w:rFonts w:ascii="黑体" w:eastAsia="黑体"/>
                <w:highlight w:val="none"/>
              </w:rPr>
            </w:pPr>
            <w:commentRangeStart w:id="11"/>
            <w:r>
              <w:rPr>
                <w:rFonts w:hint="eastAsia" w:ascii="黑体" w:eastAsia="黑体"/>
                <w:highlight w:val="none"/>
              </w:rPr>
              <w:t>发票号</w:t>
            </w:r>
            <w:commentRangeEnd w:id="11"/>
            <w:r>
              <w:rPr>
                <w:highlight w:val="none"/>
              </w:rPr>
              <w:commentReference w:id="11"/>
            </w:r>
          </w:p>
        </w:tc>
        <w:tc>
          <w:tcPr>
            <w:tcW w:w="998" w:type="dxa"/>
            <w:vAlign w:val="center"/>
          </w:tcPr>
          <w:p>
            <w:pPr>
              <w:snapToGrid w:val="0"/>
              <w:spacing w:line="240" w:lineRule="atLeast"/>
              <w:jc w:val="center"/>
              <w:rPr>
                <w:rFonts w:ascii="黑体" w:eastAsia="黑体"/>
                <w:highlight w:val="none"/>
              </w:rPr>
            </w:pPr>
            <w:r>
              <w:rPr>
                <w:rFonts w:hint="eastAsia" w:ascii="黑体" w:eastAsia="黑体"/>
                <w:highlight w:val="none"/>
              </w:rPr>
              <w:t>发票金额</w:t>
            </w:r>
          </w:p>
        </w:tc>
        <w:tc>
          <w:tcPr>
            <w:tcW w:w="802" w:type="dxa"/>
            <w:vAlign w:val="center"/>
          </w:tcPr>
          <w:p>
            <w:pPr>
              <w:snapToGrid w:val="0"/>
              <w:spacing w:line="240" w:lineRule="atLeast"/>
              <w:jc w:val="center"/>
              <w:rPr>
                <w:rFonts w:ascii="黑体" w:eastAsia="黑体"/>
                <w:highlight w:val="none"/>
              </w:rPr>
            </w:pPr>
            <w:r>
              <w:rPr>
                <w:rFonts w:hint="eastAsia" w:ascii="黑体" w:eastAsia="黑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highlight w:val="none"/>
              </w:rPr>
            </w:pPr>
          </w:p>
        </w:tc>
        <w:tc>
          <w:tcPr>
            <w:tcW w:w="1441" w:type="dxa"/>
            <w:gridSpan w:val="3"/>
            <w:vAlign w:val="center"/>
          </w:tcPr>
          <w:p>
            <w:pPr>
              <w:snapToGrid w:val="0"/>
              <w:spacing w:line="240" w:lineRule="atLeast"/>
              <w:rPr>
                <w:highlight w:val="none"/>
              </w:rPr>
            </w:pPr>
          </w:p>
        </w:tc>
        <w:tc>
          <w:tcPr>
            <w:tcW w:w="1079" w:type="dxa"/>
            <w:vAlign w:val="center"/>
          </w:tcPr>
          <w:p>
            <w:pPr>
              <w:snapToGrid w:val="0"/>
              <w:spacing w:line="240" w:lineRule="atLeast"/>
              <w:rPr>
                <w:highlight w:val="none"/>
              </w:rPr>
            </w:pPr>
          </w:p>
        </w:tc>
        <w:tc>
          <w:tcPr>
            <w:tcW w:w="1071" w:type="dxa"/>
            <w:vAlign w:val="center"/>
          </w:tcPr>
          <w:p>
            <w:pPr>
              <w:snapToGrid w:val="0"/>
              <w:spacing w:line="240" w:lineRule="atLeast"/>
              <w:rPr>
                <w:highlight w:val="none"/>
              </w:rPr>
            </w:pPr>
          </w:p>
        </w:tc>
        <w:tc>
          <w:tcPr>
            <w:tcW w:w="1089" w:type="dxa"/>
            <w:vAlign w:val="center"/>
          </w:tcPr>
          <w:p>
            <w:pPr>
              <w:snapToGrid w:val="0"/>
              <w:spacing w:line="240" w:lineRule="atLeast"/>
              <w:rPr>
                <w:highlight w:val="none"/>
              </w:rPr>
            </w:pPr>
          </w:p>
        </w:tc>
        <w:tc>
          <w:tcPr>
            <w:tcW w:w="1980" w:type="dxa"/>
            <w:vAlign w:val="center"/>
          </w:tcPr>
          <w:p>
            <w:pPr>
              <w:snapToGrid w:val="0"/>
              <w:spacing w:line="240" w:lineRule="atLeast"/>
              <w:rPr>
                <w:highlight w:val="none"/>
              </w:rPr>
            </w:pPr>
          </w:p>
        </w:tc>
        <w:tc>
          <w:tcPr>
            <w:tcW w:w="998" w:type="dxa"/>
            <w:vAlign w:val="center"/>
          </w:tcPr>
          <w:p>
            <w:pPr>
              <w:snapToGrid w:val="0"/>
              <w:spacing w:line="240" w:lineRule="atLeast"/>
              <w:rPr>
                <w:highlight w:val="none"/>
              </w:rPr>
            </w:pPr>
          </w:p>
        </w:tc>
        <w:tc>
          <w:tcPr>
            <w:tcW w:w="802" w:type="dxa"/>
            <w:vAlign w:val="center"/>
          </w:tcPr>
          <w:p>
            <w:pPr>
              <w:snapToGrid w:val="0"/>
              <w:spacing w:line="240" w:lineRule="atLeas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highlight w:val="none"/>
              </w:rPr>
            </w:pPr>
          </w:p>
        </w:tc>
        <w:tc>
          <w:tcPr>
            <w:tcW w:w="1441" w:type="dxa"/>
            <w:gridSpan w:val="3"/>
            <w:vAlign w:val="center"/>
          </w:tcPr>
          <w:p>
            <w:pPr>
              <w:snapToGrid w:val="0"/>
              <w:spacing w:line="240" w:lineRule="atLeast"/>
              <w:rPr>
                <w:highlight w:val="none"/>
              </w:rPr>
            </w:pPr>
          </w:p>
        </w:tc>
        <w:tc>
          <w:tcPr>
            <w:tcW w:w="1079" w:type="dxa"/>
            <w:vAlign w:val="center"/>
          </w:tcPr>
          <w:p>
            <w:pPr>
              <w:snapToGrid w:val="0"/>
              <w:spacing w:line="240" w:lineRule="atLeast"/>
              <w:rPr>
                <w:highlight w:val="none"/>
              </w:rPr>
            </w:pPr>
          </w:p>
        </w:tc>
        <w:tc>
          <w:tcPr>
            <w:tcW w:w="1071" w:type="dxa"/>
            <w:vAlign w:val="center"/>
          </w:tcPr>
          <w:p>
            <w:pPr>
              <w:snapToGrid w:val="0"/>
              <w:spacing w:line="240" w:lineRule="atLeast"/>
              <w:rPr>
                <w:highlight w:val="none"/>
              </w:rPr>
            </w:pPr>
          </w:p>
        </w:tc>
        <w:tc>
          <w:tcPr>
            <w:tcW w:w="1089" w:type="dxa"/>
            <w:vAlign w:val="center"/>
          </w:tcPr>
          <w:p>
            <w:pPr>
              <w:snapToGrid w:val="0"/>
              <w:spacing w:line="240" w:lineRule="atLeast"/>
              <w:rPr>
                <w:highlight w:val="none"/>
              </w:rPr>
            </w:pPr>
          </w:p>
        </w:tc>
        <w:tc>
          <w:tcPr>
            <w:tcW w:w="1980" w:type="dxa"/>
            <w:vAlign w:val="center"/>
          </w:tcPr>
          <w:p>
            <w:pPr>
              <w:snapToGrid w:val="0"/>
              <w:spacing w:line="240" w:lineRule="atLeast"/>
              <w:rPr>
                <w:highlight w:val="none"/>
              </w:rPr>
            </w:pPr>
          </w:p>
        </w:tc>
        <w:tc>
          <w:tcPr>
            <w:tcW w:w="998" w:type="dxa"/>
            <w:vAlign w:val="center"/>
          </w:tcPr>
          <w:p>
            <w:pPr>
              <w:snapToGrid w:val="0"/>
              <w:spacing w:line="240" w:lineRule="atLeast"/>
              <w:rPr>
                <w:highlight w:val="none"/>
              </w:rPr>
            </w:pPr>
          </w:p>
        </w:tc>
        <w:tc>
          <w:tcPr>
            <w:tcW w:w="802" w:type="dxa"/>
            <w:vAlign w:val="center"/>
          </w:tcPr>
          <w:p>
            <w:pPr>
              <w:snapToGrid w:val="0"/>
              <w:spacing w:line="240" w:lineRule="atLeas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highlight w:val="none"/>
              </w:rPr>
            </w:pPr>
          </w:p>
        </w:tc>
        <w:tc>
          <w:tcPr>
            <w:tcW w:w="1441" w:type="dxa"/>
            <w:gridSpan w:val="3"/>
            <w:vAlign w:val="center"/>
          </w:tcPr>
          <w:p>
            <w:pPr>
              <w:snapToGrid w:val="0"/>
              <w:spacing w:line="240" w:lineRule="atLeast"/>
              <w:rPr>
                <w:highlight w:val="none"/>
              </w:rPr>
            </w:pPr>
          </w:p>
        </w:tc>
        <w:tc>
          <w:tcPr>
            <w:tcW w:w="1079" w:type="dxa"/>
            <w:vAlign w:val="center"/>
          </w:tcPr>
          <w:p>
            <w:pPr>
              <w:snapToGrid w:val="0"/>
              <w:spacing w:line="240" w:lineRule="atLeast"/>
              <w:rPr>
                <w:highlight w:val="none"/>
              </w:rPr>
            </w:pPr>
          </w:p>
        </w:tc>
        <w:tc>
          <w:tcPr>
            <w:tcW w:w="1071" w:type="dxa"/>
            <w:vAlign w:val="center"/>
          </w:tcPr>
          <w:p>
            <w:pPr>
              <w:snapToGrid w:val="0"/>
              <w:spacing w:line="240" w:lineRule="atLeast"/>
              <w:rPr>
                <w:highlight w:val="none"/>
              </w:rPr>
            </w:pPr>
          </w:p>
        </w:tc>
        <w:tc>
          <w:tcPr>
            <w:tcW w:w="1089" w:type="dxa"/>
            <w:vAlign w:val="center"/>
          </w:tcPr>
          <w:p>
            <w:pPr>
              <w:snapToGrid w:val="0"/>
              <w:spacing w:line="240" w:lineRule="atLeast"/>
              <w:rPr>
                <w:highlight w:val="none"/>
              </w:rPr>
            </w:pPr>
          </w:p>
        </w:tc>
        <w:tc>
          <w:tcPr>
            <w:tcW w:w="1980" w:type="dxa"/>
            <w:vAlign w:val="center"/>
          </w:tcPr>
          <w:p>
            <w:pPr>
              <w:snapToGrid w:val="0"/>
              <w:spacing w:line="240" w:lineRule="atLeast"/>
              <w:rPr>
                <w:highlight w:val="none"/>
              </w:rPr>
            </w:pPr>
          </w:p>
        </w:tc>
        <w:tc>
          <w:tcPr>
            <w:tcW w:w="998" w:type="dxa"/>
            <w:vAlign w:val="center"/>
          </w:tcPr>
          <w:p>
            <w:pPr>
              <w:snapToGrid w:val="0"/>
              <w:spacing w:line="240" w:lineRule="atLeast"/>
              <w:rPr>
                <w:highlight w:val="none"/>
              </w:rPr>
            </w:pPr>
          </w:p>
        </w:tc>
        <w:tc>
          <w:tcPr>
            <w:tcW w:w="802" w:type="dxa"/>
            <w:vAlign w:val="center"/>
          </w:tcPr>
          <w:p>
            <w:pPr>
              <w:snapToGrid w:val="0"/>
              <w:spacing w:line="240" w:lineRule="atLeas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highlight w:val="none"/>
              </w:rPr>
            </w:pPr>
          </w:p>
        </w:tc>
        <w:tc>
          <w:tcPr>
            <w:tcW w:w="1441" w:type="dxa"/>
            <w:gridSpan w:val="3"/>
            <w:vAlign w:val="center"/>
          </w:tcPr>
          <w:p>
            <w:pPr>
              <w:snapToGrid w:val="0"/>
              <w:spacing w:line="240" w:lineRule="atLeast"/>
              <w:rPr>
                <w:highlight w:val="none"/>
              </w:rPr>
            </w:pPr>
          </w:p>
        </w:tc>
        <w:tc>
          <w:tcPr>
            <w:tcW w:w="1079" w:type="dxa"/>
            <w:vAlign w:val="center"/>
          </w:tcPr>
          <w:p>
            <w:pPr>
              <w:snapToGrid w:val="0"/>
              <w:spacing w:line="240" w:lineRule="atLeast"/>
              <w:rPr>
                <w:highlight w:val="none"/>
              </w:rPr>
            </w:pPr>
          </w:p>
        </w:tc>
        <w:tc>
          <w:tcPr>
            <w:tcW w:w="1071" w:type="dxa"/>
            <w:vAlign w:val="center"/>
          </w:tcPr>
          <w:p>
            <w:pPr>
              <w:snapToGrid w:val="0"/>
              <w:spacing w:line="240" w:lineRule="atLeast"/>
              <w:rPr>
                <w:highlight w:val="none"/>
              </w:rPr>
            </w:pPr>
          </w:p>
        </w:tc>
        <w:tc>
          <w:tcPr>
            <w:tcW w:w="1089" w:type="dxa"/>
            <w:vAlign w:val="center"/>
          </w:tcPr>
          <w:p>
            <w:pPr>
              <w:snapToGrid w:val="0"/>
              <w:spacing w:line="240" w:lineRule="atLeast"/>
              <w:rPr>
                <w:highlight w:val="none"/>
              </w:rPr>
            </w:pPr>
          </w:p>
        </w:tc>
        <w:tc>
          <w:tcPr>
            <w:tcW w:w="1980" w:type="dxa"/>
            <w:vAlign w:val="center"/>
          </w:tcPr>
          <w:p>
            <w:pPr>
              <w:snapToGrid w:val="0"/>
              <w:spacing w:line="240" w:lineRule="atLeast"/>
              <w:rPr>
                <w:highlight w:val="none"/>
              </w:rPr>
            </w:pPr>
          </w:p>
        </w:tc>
        <w:tc>
          <w:tcPr>
            <w:tcW w:w="998" w:type="dxa"/>
            <w:vAlign w:val="center"/>
          </w:tcPr>
          <w:p>
            <w:pPr>
              <w:snapToGrid w:val="0"/>
              <w:spacing w:line="240" w:lineRule="atLeast"/>
              <w:rPr>
                <w:highlight w:val="none"/>
              </w:rPr>
            </w:pPr>
          </w:p>
        </w:tc>
        <w:tc>
          <w:tcPr>
            <w:tcW w:w="802" w:type="dxa"/>
            <w:vAlign w:val="center"/>
          </w:tcPr>
          <w:p>
            <w:pPr>
              <w:snapToGrid w:val="0"/>
              <w:spacing w:line="240" w:lineRule="atLeas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highlight w:val="none"/>
              </w:rPr>
            </w:pPr>
          </w:p>
        </w:tc>
        <w:tc>
          <w:tcPr>
            <w:tcW w:w="1441" w:type="dxa"/>
            <w:gridSpan w:val="3"/>
            <w:vAlign w:val="center"/>
          </w:tcPr>
          <w:p>
            <w:pPr>
              <w:snapToGrid w:val="0"/>
              <w:spacing w:line="240" w:lineRule="atLeast"/>
              <w:rPr>
                <w:highlight w:val="none"/>
              </w:rPr>
            </w:pPr>
          </w:p>
        </w:tc>
        <w:tc>
          <w:tcPr>
            <w:tcW w:w="1079" w:type="dxa"/>
            <w:vAlign w:val="center"/>
          </w:tcPr>
          <w:p>
            <w:pPr>
              <w:snapToGrid w:val="0"/>
              <w:spacing w:line="240" w:lineRule="atLeast"/>
              <w:rPr>
                <w:highlight w:val="none"/>
              </w:rPr>
            </w:pPr>
          </w:p>
        </w:tc>
        <w:tc>
          <w:tcPr>
            <w:tcW w:w="1071" w:type="dxa"/>
            <w:vAlign w:val="center"/>
          </w:tcPr>
          <w:p>
            <w:pPr>
              <w:snapToGrid w:val="0"/>
              <w:spacing w:line="240" w:lineRule="atLeast"/>
              <w:rPr>
                <w:highlight w:val="none"/>
              </w:rPr>
            </w:pPr>
          </w:p>
        </w:tc>
        <w:tc>
          <w:tcPr>
            <w:tcW w:w="1089" w:type="dxa"/>
            <w:vAlign w:val="center"/>
          </w:tcPr>
          <w:p>
            <w:pPr>
              <w:snapToGrid w:val="0"/>
              <w:spacing w:line="240" w:lineRule="atLeast"/>
              <w:rPr>
                <w:highlight w:val="none"/>
              </w:rPr>
            </w:pPr>
          </w:p>
        </w:tc>
        <w:tc>
          <w:tcPr>
            <w:tcW w:w="1980" w:type="dxa"/>
            <w:vAlign w:val="center"/>
          </w:tcPr>
          <w:p>
            <w:pPr>
              <w:snapToGrid w:val="0"/>
              <w:spacing w:line="240" w:lineRule="atLeast"/>
              <w:rPr>
                <w:highlight w:val="none"/>
              </w:rPr>
            </w:pPr>
          </w:p>
        </w:tc>
        <w:tc>
          <w:tcPr>
            <w:tcW w:w="998" w:type="dxa"/>
            <w:vAlign w:val="center"/>
          </w:tcPr>
          <w:p>
            <w:pPr>
              <w:snapToGrid w:val="0"/>
              <w:spacing w:line="240" w:lineRule="atLeast"/>
              <w:rPr>
                <w:highlight w:val="none"/>
              </w:rPr>
            </w:pPr>
          </w:p>
        </w:tc>
        <w:tc>
          <w:tcPr>
            <w:tcW w:w="802" w:type="dxa"/>
            <w:vAlign w:val="center"/>
          </w:tcPr>
          <w:p>
            <w:pPr>
              <w:snapToGrid w:val="0"/>
              <w:spacing w:line="240" w:lineRule="atLeas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highlight w:val="none"/>
              </w:rPr>
            </w:pPr>
          </w:p>
        </w:tc>
        <w:tc>
          <w:tcPr>
            <w:tcW w:w="1441" w:type="dxa"/>
            <w:gridSpan w:val="3"/>
            <w:vAlign w:val="center"/>
          </w:tcPr>
          <w:p>
            <w:pPr>
              <w:snapToGrid w:val="0"/>
              <w:spacing w:line="240" w:lineRule="atLeast"/>
              <w:rPr>
                <w:highlight w:val="none"/>
              </w:rPr>
            </w:pPr>
          </w:p>
        </w:tc>
        <w:tc>
          <w:tcPr>
            <w:tcW w:w="1079" w:type="dxa"/>
            <w:vAlign w:val="center"/>
          </w:tcPr>
          <w:p>
            <w:pPr>
              <w:snapToGrid w:val="0"/>
              <w:spacing w:line="240" w:lineRule="atLeast"/>
              <w:rPr>
                <w:highlight w:val="none"/>
              </w:rPr>
            </w:pPr>
          </w:p>
        </w:tc>
        <w:tc>
          <w:tcPr>
            <w:tcW w:w="1071" w:type="dxa"/>
            <w:vAlign w:val="center"/>
          </w:tcPr>
          <w:p>
            <w:pPr>
              <w:snapToGrid w:val="0"/>
              <w:spacing w:line="240" w:lineRule="atLeast"/>
              <w:rPr>
                <w:highlight w:val="none"/>
              </w:rPr>
            </w:pPr>
          </w:p>
        </w:tc>
        <w:tc>
          <w:tcPr>
            <w:tcW w:w="1089" w:type="dxa"/>
            <w:vAlign w:val="center"/>
          </w:tcPr>
          <w:p>
            <w:pPr>
              <w:snapToGrid w:val="0"/>
              <w:spacing w:line="240" w:lineRule="atLeast"/>
              <w:rPr>
                <w:highlight w:val="none"/>
              </w:rPr>
            </w:pPr>
          </w:p>
        </w:tc>
        <w:tc>
          <w:tcPr>
            <w:tcW w:w="1980" w:type="dxa"/>
            <w:vAlign w:val="center"/>
          </w:tcPr>
          <w:p>
            <w:pPr>
              <w:snapToGrid w:val="0"/>
              <w:spacing w:line="240" w:lineRule="atLeast"/>
              <w:rPr>
                <w:highlight w:val="none"/>
              </w:rPr>
            </w:pPr>
          </w:p>
        </w:tc>
        <w:tc>
          <w:tcPr>
            <w:tcW w:w="998" w:type="dxa"/>
            <w:vAlign w:val="center"/>
          </w:tcPr>
          <w:p>
            <w:pPr>
              <w:snapToGrid w:val="0"/>
              <w:spacing w:line="240" w:lineRule="atLeast"/>
              <w:rPr>
                <w:highlight w:val="none"/>
              </w:rPr>
            </w:pPr>
          </w:p>
        </w:tc>
        <w:tc>
          <w:tcPr>
            <w:tcW w:w="802" w:type="dxa"/>
            <w:vAlign w:val="center"/>
          </w:tcPr>
          <w:p>
            <w:pPr>
              <w:snapToGrid w:val="0"/>
              <w:spacing w:line="240" w:lineRule="atLeas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highlight w:val="none"/>
              </w:rPr>
            </w:pPr>
          </w:p>
        </w:tc>
        <w:tc>
          <w:tcPr>
            <w:tcW w:w="1441" w:type="dxa"/>
            <w:gridSpan w:val="3"/>
            <w:vAlign w:val="center"/>
          </w:tcPr>
          <w:p>
            <w:pPr>
              <w:snapToGrid w:val="0"/>
              <w:spacing w:line="240" w:lineRule="atLeast"/>
              <w:rPr>
                <w:highlight w:val="none"/>
              </w:rPr>
            </w:pPr>
          </w:p>
        </w:tc>
        <w:tc>
          <w:tcPr>
            <w:tcW w:w="1079" w:type="dxa"/>
            <w:vAlign w:val="center"/>
          </w:tcPr>
          <w:p>
            <w:pPr>
              <w:snapToGrid w:val="0"/>
              <w:spacing w:line="240" w:lineRule="atLeast"/>
              <w:rPr>
                <w:highlight w:val="none"/>
              </w:rPr>
            </w:pPr>
          </w:p>
        </w:tc>
        <w:tc>
          <w:tcPr>
            <w:tcW w:w="1071" w:type="dxa"/>
            <w:vAlign w:val="center"/>
          </w:tcPr>
          <w:p>
            <w:pPr>
              <w:snapToGrid w:val="0"/>
              <w:spacing w:line="240" w:lineRule="atLeast"/>
              <w:rPr>
                <w:highlight w:val="none"/>
              </w:rPr>
            </w:pPr>
          </w:p>
        </w:tc>
        <w:tc>
          <w:tcPr>
            <w:tcW w:w="1089" w:type="dxa"/>
            <w:vAlign w:val="center"/>
          </w:tcPr>
          <w:p>
            <w:pPr>
              <w:snapToGrid w:val="0"/>
              <w:spacing w:line="240" w:lineRule="atLeast"/>
              <w:rPr>
                <w:highlight w:val="none"/>
              </w:rPr>
            </w:pPr>
          </w:p>
        </w:tc>
        <w:tc>
          <w:tcPr>
            <w:tcW w:w="1980" w:type="dxa"/>
            <w:vAlign w:val="center"/>
          </w:tcPr>
          <w:p>
            <w:pPr>
              <w:snapToGrid w:val="0"/>
              <w:spacing w:line="240" w:lineRule="atLeast"/>
              <w:rPr>
                <w:highlight w:val="none"/>
              </w:rPr>
            </w:pPr>
          </w:p>
        </w:tc>
        <w:tc>
          <w:tcPr>
            <w:tcW w:w="998" w:type="dxa"/>
            <w:vAlign w:val="center"/>
          </w:tcPr>
          <w:p>
            <w:pPr>
              <w:snapToGrid w:val="0"/>
              <w:spacing w:line="240" w:lineRule="atLeast"/>
              <w:rPr>
                <w:highlight w:val="none"/>
              </w:rPr>
            </w:pPr>
          </w:p>
        </w:tc>
        <w:tc>
          <w:tcPr>
            <w:tcW w:w="802" w:type="dxa"/>
            <w:vAlign w:val="center"/>
          </w:tcPr>
          <w:p>
            <w:pPr>
              <w:snapToGrid w:val="0"/>
              <w:spacing w:line="240" w:lineRule="atLeas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highlight w:val="none"/>
              </w:rPr>
            </w:pPr>
          </w:p>
        </w:tc>
        <w:tc>
          <w:tcPr>
            <w:tcW w:w="1441" w:type="dxa"/>
            <w:gridSpan w:val="3"/>
            <w:vAlign w:val="center"/>
          </w:tcPr>
          <w:p>
            <w:pPr>
              <w:snapToGrid w:val="0"/>
              <w:spacing w:line="240" w:lineRule="atLeast"/>
              <w:rPr>
                <w:highlight w:val="none"/>
              </w:rPr>
            </w:pPr>
          </w:p>
        </w:tc>
        <w:tc>
          <w:tcPr>
            <w:tcW w:w="1079" w:type="dxa"/>
            <w:vAlign w:val="center"/>
          </w:tcPr>
          <w:p>
            <w:pPr>
              <w:snapToGrid w:val="0"/>
              <w:spacing w:line="240" w:lineRule="atLeast"/>
              <w:rPr>
                <w:highlight w:val="none"/>
              </w:rPr>
            </w:pPr>
          </w:p>
        </w:tc>
        <w:tc>
          <w:tcPr>
            <w:tcW w:w="1071" w:type="dxa"/>
            <w:vAlign w:val="center"/>
          </w:tcPr>
          <w:p>
            <w:pPr>
              <w:snapToGrid w:val="0"/>
              <w:spacing w:line="240" w:lineRule="atLeast"/>
              <w:rPr>
                <w:highlight w:val="none"/>
              </w:rPr>
            </w:pPr>
          </w:p>
        </w:tc>
        <w:tc>
          <w:tcPr>
            <w:tcW w:w="1089" w:type="dxa"/>
            <w:vAlign w:val="center"/>
          </w:tcPr>
          <w:p>
            <w:pPr>
              <w:snapToGrid w:val="0"/>
              <w:spacing w:line="240" w:lineRule="atLeast"/>
              <w:rPr>
                <w:highlight w:val="none"/>
              </w:rPr>
            </w:pPr>
          </w:p>
        </w:tc>
        <w:tc>
          <w:tcPr>
            <w:tcW w:w="1980" w:type="dxa"/>
            <w:vAlign w:val="center"/>
          </w:tcPr>
          <w:p>
            <w:pPr>
              <w:snapToGrid w:val="0"/>
              <w:spacing w:line="240" w:lineRule="atLeast"/>
              <w:rPr>
                <w:highlight w:val="none"/>
              </w:rPr>
            </w:pPr>
          </w:p>
        </w:tc>
        <w:tc>
          <w:tcPr>
            <w:tcW w:w="998" w:type="dxa"/>
            <w:vAlign w:val="center"/>
          </w:tcPr>
          <w:p>
            <w:pPr>
              <w:snapToGrid w:val="0"/>
              <w:spacing w:line="240" w:lineRule="atLeast"/>
              <w:rPr>
                <w:highlight w:val="none"/>
              </w:rPr>
            </w:pPr>
          </w:p>
        </w:tc>
        <w:tc>
          <w:tcPr>
            <w:tcW w:w="802" w:type="dxa"/>
            <w:vAlign w:val="center"/>
          </w:tcPr>
          <w:p>
            <w:pPr>
              <w:snapToGrid w:val="0"/>
              <w:spacing w:line="240" w:lineRule="atLeas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highlight w:val="none"/>
              </w:rPr>
            </w:pPr>
          </w:p>
        </w:tc>
        <w:tc>
          <w:tcPr>
            <w:tcW w:w="1441" w:type="dxa"/>
            <w:gridSpan w:val="3"/>
            <w:vAlign w:val="center"/>
          </w:tcPr>
          <w:p>
            <w:pPr>
              <w:snapToGrid w:val="0"/>
              <w:spacing w:line="240" w:lineRule="atLeast"/>
              <w:rPr>
                <w:highlight w:val="none"/>
              </w:rPr>
            </w:pPr>
          </w:p>
        </w:tc>
        <w:tc>
          <w:tcPr>
            <w:tcW w:w="1079" w:type="dxa"/>
            <w:vAlign w:val="center"/>
          </w:tcPr>
          <w:p>
            <w:pPr>
              <w:snapToGrid w:val="0"/>
              <w:spacing w:line="240" w:lineRule="atLeast"/>
              <w:rPr>
                <w:highlight w:val="none"/>
              </w:rPr>
            </w:pPr>
          </w:p>
        </w:tc>
        <w:tc>
          <w:tcPr>
            <w:tcW w:w="1071" w:type="dxa"/>
            <w:vAlign w:val="center"/>
          </w:tcPr>
          <w:p>
            <w:pPr>
              <w:snapToGrid w:val="0"/>
              <w:spacing w:line="240" w:lineRule="atLeast"/>
              <w:rPr>
                <w:highlight w:val="none"/>
              </w:rPr>
            </w:pPr>
          </w:p>
        </w:tc>
        <w:tc>
          <w:tcPr>
            <w:tcW w:w="1089" w:type="dxa"/>
            <w:vAlign w:val="center"/>
          </w:tcPr>
          <w:p>
            <w:pPr>
              <w:snapToGrid w:val="0"/>
              <w:spacing w:line="240" w:lineRule="atLeast"/>
              <w:rPr>
                <w:highlight w:val="none"/>
              </w:rPr>
            </w:pPr>
          </w:p>
        </w:tc>
        <w:tc>
          <w:tcPr>
            <w:tcW w:w="1980" w:type="dxa"/>
            <w:vAlign w:val="center"/>
          </w:tcPr>
          <w:p>
            <w:pPr>
              <w:snapToGrid w:val="0"/>
              <w:spacing w:line="240" w:lineRule="atLeast"/>
              <w:rPr>
                <w:highlight w:val="none"/>
              </w:rPr>
            </w:pPr>
          </w:p>
        </w:tc>
        <w:tc>
          <w:tcPr>
            <w:tcW w:w="998" w:type="dxa"/>
            <w:vAlign w:val="center"/>
          </w:tcPr>
          <w:p>
            <w:pPr>
              <w:snapToGrid w:val="0"/>
              <w:spacing w:line="240" w:lineRule="atLeast"/>
              <w:rPr>
                <w:highlight w:val="none"/>
              </w:rPr>
            </w:pPr>
          </w:p>
        </w:tc>
        <w:tc>
          <w:tcPr>
            <w:tcW w:w="802" w:type="dxa"/>
            <w:vAlign w:val="center"/>
          </w:tcPr>
          <w:p>
            <w:pPr>
              <w:snapToGrid w:val="0"/>
              <w:spacing w:line="240" w:lineRule="atLeas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highlight w:val="none"/>
              </w:rPr>
            </w:pPr>
          </w:p>
        </w:tc>
        <w:tc>
          <w:tcPr>
            <w:tcW w:w="1441" w:type="dxa"/>
            <w:gridSpan w:val="3"/>
            <w:vAlign w:val="center"/>
          </w:tcPr>
          <w:p>
            <w:pPr>
              <w:snapToGrid w:val="0"/>
              <w:spacing w:line="240" w:lineRule="atLeast"/>
              <w:rPr>
                <w:highlight w:val="none"/>
              </w:rPr>
            </w:pPr>
          </w:p>
        </w:tc>
        <w:tc>
          <w:tcPr>
            <w:tcW w:w="1079" w:type="dxa"/>
            <w:vAlign w:val="center"/>
          </w:tcPr>
          <w:p>
            <w:pPr>
              <w:snapToGrid w:val="0"/>
              <w:spacing w:line="240" w:lineRule="atLeast"/>
              <w:rPr>
                <w:highlight w:val="none"/>
              </w:rPr>
            </w:pPr>
          </w:p>
        </w:tc>
        <w:tc>
          <w:tcPr>
            <w:tcW w:w="1071" w:type="dxa"/>
            <w:vAlign w:val="center"/>
          </w:tcPr>
          <w:p>
            <w:pPr>
              <w:snapToGrid w:val="0"/>
              <w:spacing w:line="240" w:lineRule="atLeast"/>
              <w:rPr>
                <w:highlight w:val="none"/>
              </w:rPr>
            </w:pPr>
          </w:p>
        </w:tc>
        <w:tc>
          <w:tcPr>
            <w:tcW w:w="1089" w:type="dxa"/>
            <w:vAlign w:val="center"/>
          </w:tcPr>
          <w:p>
            <w:pPr>
              <w:snapToGrid w:val="0"/>
              <w:spacing w:line="240" w:lineRule="atLeast"/>
              <w:rPr>
                <w:highlight w:val="none"/>
              </w:rPr>
            </w:pPr>
          </w:p>
        </w:tc>
        <w:tc>
          <w:tcPr>
            <w:tcW w:w="1980" w:type="dxa"/>
            <w:vAlign w:val="center"/>
          </w:tcPr>
          <w:p>
            <w:pPr>
              <w:snapToGrid w:val="0"/>
              <w:spacing w:line="240" w:lineRule="atLeast"/>
              <w:rPr>
                <w:highlight w:val="none"/>
              </w:rPr>
            </w:pPr>
          </w:p>
        </w:tc>
        <w:tc>
          <w:tcPr>
            <w:tcW w:w="998" w:type="dxa"/>
            <w:vAlign w:val="center"/>
          </w:tcPr>
          <w:p>
            <w:pPr>
              <w:snapToGrid w:val="0"/>
              <w:spacing w:line="240" w:lineRule="atLeast"/>
              <w:rPr>
                <w:highlight w:val="none"/>
              </w:rPr>
            </w:pPr>
          </w:p>
        </w:tc>
        <w:tc>
          <w:tcPr>
            <w:tcW w:w="802" w:type="dxa"/>
            <w:vAlign w:val="center"/>
          </w:tcPr>
          <w:p>
            <w:pPr>
              <w:snapToGrid w:val="0"/>
              <w:spacing w:line="240" w:lineRule="atLeas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highlight w:val="none"/>
              </w:rPr>
            </w:pPr>
          </w:p>
        </w:tc>
        <w:tc>
          <w:tcPr>
            <w:tcW w:w="1441" w:type="dxa"/>
            <w:gridSpan w:val="3"/>
            <w:vAlign w:val="center"/>
          </w:tcPr>
          <w:p>
            <w:pPr>
              <w:snapToGrid w:val="0"/>
              <w:spacing w:line="240" w:lineRule="atLeast"/>
              <w:rPr>
                <w:highlight w:val="none"/>
              </w:rPr>
            </w:pPr>
          </w:p>
        </w:tc>
        <w:tc>
          <w:tcPr>
            <w:tcW w:w="1079" w:type="dxa"/>
            <w:vAlign w:val="center"/>
          </w:tcPr>
          <w:p>
            <w:pPr>
              <w:snapToGrid w:val="0"/>
              <w:spacing w:line="240" w:lineRule="atLeast"/>
              <w:rPr>
                <w:highlight w:val="none"/>
              </w:rPr>
            </w:pPr>
          </w:p>
        </w:tc>
        <w:tc>
          <w:tcPr>
            <w:tcW w:w="1071" w:type="dxa"/>
            <w:vAlign w:val="center"/>
          </w:tcPr>
          <w:p>
            <w:pPr>
              <w:snapToGrid w:val="0"/>
              <w:spacing w:line="240" w:lineRule="atLeast"/>
              <w:rPr>
                <w:highlight w:val="none"/>
              </w:rPr>
            </w:pPr>
          </w:p>
        </w:tc>
        <w:tc>
          <w:tcPr>
            <w:tcW w:w="1089" w:type="dxa"/>
            <w:vAlign w:val="center"/>
          </w:tcPr>
          <w:p>
            <w:pPr>
              <w:snapToGrid w:val="0"/>
              <w:spacing w:line="240" w:lineRule="atLeast"/>
              <w:rPr>
                <w:highlight w:val="none"/>
              </w:rPr>
            </w:pPr>
          </w:p>
        </w:tc>
        <w:tc>
          <w:tcPr>
            <w:tcW w:w="1980" w:type="dxa"/>
            <w:vAlign w:val="center"/>
          </w:tcPr>
          <w:p>
            <w:pPr>
              <w:snapToGrid w:val="0"/>
              <w:spacing w:line="240" w:lineRule="atLeast"/>
              <w:rPr>
                <w:highlight w:val="none"/>
              </w:rPr>
            </w:pPr>
          </w:p>
        </w:tc>
        <w:tc>
          <w:tcPr>
            <w:tcW w:w="998" w:type="dxa"/>
            <w:vAlign w:val="center"/>
          </w:tcPr>
          <w:p>
            <w:pPr>
              <w:snapToGrid w:val="0"/>
              <w:spacing w:line="240" w:lineRule="atLeast"/>
              <w:rPr>
                <w:highlight w:val="none"/>
              </w:rPr>
            </w:pPr>
          </w:p>
        </w:tc>
        <w:tc>
          <w:tcPr>
            <w:tcW w:w="802" w:type="dxa"/>
            <w:vAlign w:val="center"/>
          </w:tcPr>
          <w:p>
            <w:pPr>
              <w:snapToGrid w:val="0"/>
              <w:spacing w:line="240" w:lineRule="atLeas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 w:type="dxa"/>
            <w:vAlign w:val="center"/>
          </w:tcPr>
          <w:p>
            <w:pPr>
              <w:snapToGrid w:val="0"/>
              <w:spacing w:line="240" w:lineRule="atLeast"/>
              <w:rPr>
                <w:highlight w:val="none"/>
              </w:rPr>
            </w:pPr>
          </w:p>
        </w:tc>
        <w:tc>
          <w:tcPr>
            <w:tcW w:w="1441" w:type="dxa"/>
            <w:gridSpan w:val="3"/>
            <w:vAlign w:val="center"/>
          </w:tcPr>
          <w:p>
            <w:pPr>
              <w:snapToGrid w:val="0"/>
              <w:spacing w:line="240" w:lineRule="atLeast"/>
              <w:rPr>
                <w:highlight w:val="none"/>
              </w:rPr>
            </w:pPr>
          </w:p>
        </w:tc>
        <w:tc>
          <w:tcPr>
            <w:tcW w:w="1079" w:type="dxa"/>
            <w:vAlign w:val="center"/>
          </w:tcPr>
          <w:p>
            <w:pPr>
              <w:snapToGrid w:val="0"/>
              <w:spacing w:line="240" w:lineRule="atLeast"/>
              <w:rPr>
                <w:highlight w:val="none"/>
              </w:rPr>
            </w:pPr>
          </w:p>
        </w:tc>
        <w:tc>
          <w:tcPr>
            <w:tcW w:w="1071" w:type="dxa"/>
            <w:vAlign w:val="center"/>
          </w:tcPr>
          <w:p>
            <w:pPr>
              <w:snapToGrid w:val="0"/>
              <w:spacing w:line="240" w:lineRule="atLeast"/>
              <w:rPr>
                <w:highlight w:val="none"/>
              </w:rPr>
            </w:pPr>
          </w:p>
        </w:tc>
        <w:tc>
          <w:tcPr>
            <w:tcW w:w="1089" w:type="dxa"/>
            <w:vAlign w:val="center"/>
          </w:tcPr>
          <w:p>
            <w:pPr>
              <w:snapToGrid w:val="0"/>
              <w:spacing w:line="240" w:lineRule="atLeast"/>
              <w:rPr>
                <w:highlight w:val="none"/>
              </w:rPr>
            </w:pPr>
          </w:p>
        </w:tc>
        <w:tc>
          <w:tcPr>
            <w:tcW w:w="1980" w:type="dxa"/>
            <w:vAlign w:val="center"/>
          </w:tcPr>
          <w:p>
            <w:pPr>
              <w:snapToGrid w:val="0"/>
              <w:spacing w:line="240" w:lineRule="atLeast"/>
              <w:rPr>
                <w:highlight w:val="none"/>
              </w:rPr>
            </w:pPr>
          </w:p>
        </w:tc>
        <w:tc>
          <w:tcPr>
            <w:tcW w:w="998" w:type="dxa"/>
            <w:vAlign w:val="center"/>
          </w:tcPr>
          <w:p>
            <w:pPr>
              <w:snapToGrid w:val="0"/>
              <w:spacing w:line="240" w:lineRule="atLeast"/>
              <w:rPr>
                <w:highlight w:val="none"/>
              </w:rPr>
            </w:pPr>
          </w:p>
        </w:tc>
        <w:tc>
          <w:tcPr>
            <w:tcW w:w="802" w:type="dxa"/>
            <w:vAlign w:val="center"/>
          </w:tcPr>
          <w:p>
            <w:pPr>
              <w:snapToGrid w:val="0"/>
              <w:spacing w:line="240" w:lineRule="atLeas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380" w:type="dxa"/>
            <w:gridSpan w:val="8"/>
          </w:tcPr>
          <w:p>
            <w:pPr>
              <w:snapToGrid w:val="0"/>
              <w:spacing w:line="240" w:lineRule="atLeast"/>
              <w:jc w:val="center"/>
              <w:rPr>
                <w:highlight w:val="none"/>
              </w:rPr>
            </w:pPr>
            <w:r>
              <w:rPr>
                <w:rFonts w:hint="eastAsia"/>
                <w:highlight w:val="none"/>
              </w:rPr>
              <w:t>金额合计</w:t>
            </w:r>
          </w:p>
        </w:tc>
        <w:tc>
          <w:tcPr>
            <w:tcW w:w="998" w:type="dxa"/>
          </w:tcPr>
          <w:p>
            <w:pPr>
              <w:snapToGrid w:val="0"/>
              <w:spacing w:line="240" w:lineRule="atLeast"/>
              <w:rPr>
                <w:highlight w:val="none"/>
              </w:rPr>
            </w:pPr>
          </w:p>
        </w:tc>
        <w:tc>
          <w:tcPr>
            <w:tcW w:w="802" w:type="dxa"/>
          </w:tcPr>
          <w:p>
            <w:pPr>
              <w:snapToGrid w:val="0"/>
              <w:spacing w:line="240" w:lineRule="atLeast"/>
              <w:rPr>
                <w:highlight w:val="none"/>
              </w:rPr>
            </w:pPr>
          </w:p>
        </w:tc>
      </w:tr>
    </w:tbl>
    <w:p>
      <w:pPr>
        <w:jc w:val="left"/>
        <w:rPr>
          <w:rFonts w:ascii="宋体" w:hAnsi="宋体"/>
          <w:szCs w:val="21"/>
          <w:highlight w:val="none"/>
        </w:rPr>
      </w:pPr>
      <w:r>
        <w:rPr>
          <w:rFonts w:hint="eastAsia" w:ascii="宋体" w:hAnsi="宋体"/>
          <w:szCs w:val="21"/>
          <w:highlight w:val="none"/>
        </w:rPr>
        <w:t>说明：</w:t>
      </w:r>
      <w:r>
        <w:rPr>
          <w:rFonts w:ascii="宋体" w:hAnsi="宋体"/>
          <w:szCs w:val="21"/>
          <w:highlight w:val="none"/>
        </w:rPr>
        <w:t>1</w:t>
      </w:r>
      <w:r>
        <w:rPr>
          <w:rFonts w:hint="eastAsia" w:ascii="宋体" w:hAnsi="宋体"/>
          <w:szCs w:val="21"/>
          <w:highlight w:val="none"/>
        </w:rPr>
        <w:t>、以上表格请按费用发生的时间先后顺序填写，并将附件证明材料按对应顺序整理</w:t>
      </w:r>
    </w:p>
    <w:p>
      <w:pPr>
        <w:jc w:val="left"/>
        <w:rPr>
          <w:highlight w:val="none"/>
        </w:rPr>
      </w:pPr>
      <w:r>
        <w:rPr>
          <w:rFonts w:hint="eastAsia" w:ascii="宋体" w:hAnsi="宋体"/>
          <w:szCs w:val="21"/>
          <w:highlight w:val="none"/>
        </w:rPr>
        <w:t>编号；</w:t>
      </w:r>
      <w:r>
        <w:rPr>
          <w:rFonts w:ascii="宋体" w:hAnsi="宋体"/>
          <w:szCs w:val="21"/>
          <w:highlight w:val="none"/>
        </w:rPr>
        <w:t>2</w:t>
      </w:r>
      <w:r>
        <w:rPr>
          <w:rFonts w:hint="eastAsia" w:ascii="宋体" w:hAnsi="宋体"/>
          <w:szCs w:val="21"/>
          <w:highlight w:val="none"/>
        </w:rPr>
        <w:t>、发票及金额信息请按照发票实际内容填写；</w:t>
      </w:r>
      <w:r>
        <w:rPr>
          <w:rFonts w:ascii="宋体" w:hAnsi="宋体"/>
          <w:szCs w:val="21"/>
          <w:highlight w:val="none"/>
        </w:rPr>
        <w:t>3</w:t>
      </w:r>
      <w:r>
        <w:rPr>
          <w:rFonts w:hint="eastAsia" w:ascii="宋体" w:hAnsi="宋体"/>
          <w:szCs w:val="21"/>
          <w:highlight w:val="none"/>
        </w:rPr>
        <w:t>、每一张发票填写一行。</w:t>
      </w:r>
    </w:p>
    <w:p>
      <w:pPr>
        <w:rPr>
          <w:rFonts w:ascii="仿宋" w:hAnsi="仿宋" w:eastAsia="仿宋" w:cs="仿宋"/>
          <w:sz w:val="32"/>
          <w:szCs w:val="32"/>
          <w:highlight w:val="none"/>
        </w:rPr>
      </w:pPr>
    </w:p>
    <w:p>
      <w:pPr>
        <w:rPr>
          <w:rFonts w:ascii="仿宋_GB2312" w:eastAsia="仿宋_GB2312"/>
          <w:sz w:val="32"/>
          <w:szCs w:val="32"/>
          <w:highlight w:val="none"/>
        </w:rPr>
      </w:pPr>
    </w:p>
    <w:p>
      <w:pPr>
        <w:rPr>
          <w:rFonts w:ascii="仿宋_GB2312" w:eastAsia="仿宋_GB2312"/>
          <w:sz w:val="32"/>
          <w:szCs w:val="32"/>
          <w:highlight w:val="none"/>
        </w:rPr>
      </w:pPr>
    </w:p>
    <w:p>
      <w:pPr>
        <w:rPr>
          <w:rFonts w:ascii="仿宋_GB2312" w:eastAsia="仿宋_GB2312"/>
          <w:sz w:val="32"/>
          <w:szCs w:val="32"/>
          <w:highlight w:val="none"/>
        </w:rPr>
      </w:pPr>
    </w:p>
    <w:p>
      <w:pPr>
        <w:rPr>
          <w:rFonts w:ascii="仿宋_GB2312" w:eastAsia="仿宋_GB2312"/>
          <w:sz w:val="32"/>
          <w:szCs w:val="32"/>
          <w:highlight w:val="none"/>
        </w:rPr>
      </w:pPr>
    </w:p>
    <w:p>
      <w:pPr>
        <w:rPr>
          <w:rFonts w:ascii="仿宋_GB2312" w:eastAsia="仿宋_GB2312"/>
          <w:sz w:val="32"/>
          <w:szCs w:val="32"/>
          <w:highlight w:val="none"/>
        </w:rPr>
      </w:pPr>
    </w:p>
    <w:p>
      <w:pPr>
        <w:rPr>
          <w:rFonts w:ascii="仿宋_GB2312" w:eastAsia="仿宋_GB2312"/>
          <w:sz w:val="32"/>
          <w:szCs w:val="32"/>
          <w:highlight w:val="none"/>
        </w:rPr>
      </w:pPr>
    </w:p>
    <w:p>
      <w:pPr>
        <w:rPr>
          <w:rFonts w:ascii="仿宋_GB2312" w:eastAsia="仿宋_GB2312"/>
          <w:sz w:val="32"/>
          <w:szCs w:val="32"/>
          <w:highlight w:val="none"/>
        </w:rPr>
      </w:pPr>
    </w:p>
    <w:p>
      <w:pPr>
        <w:rPr>
          <w:rFonts w:ascii="仿宋_GB2312" w:eastAsia="仿宋_GB2312"/>
          <w:sz w:val="32"/>
          <w:szCs w:val="32"/>
          <w:highlight w:val="none"/>
        </w:rPr>
      </w:pPr>
    </w:p>
    <w:p>
      <w:pPr>
        <w:adjustRightInd w:val="0"/>
        <w:jc w:val="left"/>
        <w:rPr>
          <w:rFonts w:ascii="黑体" w:hAnsi="黑体" w:eastAsia="黑体" w:cs="黑体"/>
          <w:highlight w:val="none"/>
        </w:rPr>
      </w:pPr>
      <w:r>
        <w:rPr>
          <w:rFonts w:hint="eastAsia" w:ascii="黑体" w:hAnsi="黑体" w:eastAsia="黑体" w:cs="黑体"/>
          <w:highlight w:val="none"/>
        </w:rPr>
        <w:t>表3</w:t>
      </w:r>
    </w:p>
    <w:p>
      <w:pPr>
        <w:jc w:val="center"/>
        <w:rPr>
          <w:sz w:val="72"/>
          <w:szCs w:val="72"/>
          <w:highlight w:val="none"/>
        </w:rPr>
      </w:pPr>
    </w:p>
    <w:p>
      <w:pPr>
        <w:pStyle w:val="2"/>
        <w:adjustRightInd w:val="0"/>
        <w:spacing w:before="0" w:beforeAutospacing="0" w:after="0" w:afterAutospacing="0" w:line="540" w:lineRule="exact"/>
        <w:jc w:val="center"/>
        <w:rPr>
          <w:rFonts w:cs="仿宋_GB2312" w:asciiTheme="minorEastAsia" w:hAnsiTheme="minorEastAsia" w:eastAsiaTheme="minorEastAsia"/>
          <w:color w:val="000000" w:themeColor="text1"/>
          <w:sz w:val="52"/>
          <w:szCs w:val="52"/>
          <w:highlight w:val="none"/>
        </w:rPr>
      </w:pPr>
      <w:bookmarkStart w:id="16" w:name="_Toc15881"/>
      <w:bookmarkStart w:id="17" w:name="_Hlk41989175"/>
      <w:r>
        <w:rPr>
          <w:rFonts w:hint="eastAsia" w:cs="仿宋_GB2312" w:asciiTheme="minorEastAsia" w:hAnsiTheme="minorEastAsia" w:eastAsiaTheme="minorEastAsia"/>
          <w:color w:val="000000" w:themeColor="text1"/>
          <w:sz w:val="52"/>
          <w:szCs w:val="52"/>
          <w:highlight w:val="none"/>
        </w:rPr>
        <w:t xml:space="preserve"> 授 权 委 托 书</w:t>
      </w:r>
      <w:bookmarkEnd w:id="16"/>
      <w:r>
        <w:rPr>
          <w:rFonts w:hint="eastAsia" w:cs="仿宋_GB2312" w:asciiTheme="minorEastAsia" w:hAnsiTheme="minorEastAsia" w:eastAsiaTheme="minorEastAsia"/>
          <w:color w:val="000000" w:themeColor="text1"/>
          <w:sz w:val="52"/>
          <w:szCs w:val="52"/>
          <w:highlight w:val="none"/>
        </w:rPr>
        <w:t xml:space="preserve"> </w:t>
      </w:r>
    </w:p>
    <w:bookmarkEnd w:id="17"/>
    <w:p>
      <w:pPr>
        <w:jc w:val="center"/>
        <w:rPr>
          <w:sz w:val="32"/>
          <w:szCs w:val="32"/>
          <w:highlight w:val="none"/>
        </w:rPr>
      </w:pPr>
    </w:p>
    <w:p>
      <w:pPr>
        <w:rPr>
          <w:rFonts w:ascii="仿宋_GB2312" w:eastAsia="仿宋_GB2312"/>
          <w:sz w:val="32"/>
          <w:szCs w:val="32"/>
          <w:highlight w:val="none"/>
          <w:u w:val="single"/>
        </w:rPr>
      </w:pPr>
      <w:r>
        <w:rPr>
          <w:rFonts w:hint="eastAsia" w:ascii="仿宋_GB2312" w:eastAsia="仿宋_GB2312"/>
          <w:sz w:val="32"/>
          <w:szCs w:val="32"/>
          <w:highlight w:val="none"/>
        </w:rPr>
        <w:t>委托单位:</w:t>
      </w:r>
      <w:r>
        <w:rPr>
          <w:rFonts w:hint="eastAsia" w:ascii="仿宋_GB2312" w:eastAsia="仿宋_GB2312"/>
          <w:sz w:val="32"/>
          <w:szCs w:val="32"/>
          <w:highlight w:val="none"/>
          <w:u w:val="single"/>
        </w:rPr>
        <w:t xml:space="preserve">                                         </w:t>
      </w:r>
    </w:p>
    <w:p>
      <w:pPr>
        <w:rPr>
          <w:rFonts w:ascii="仿宋_GB2312" w:eastAsia="仿宋_GB2312"/>
          <w:sz w:val="32"/>
          <w:szCs w:val="32"/>
          <w:highlight w:val="none"/>
          <w:u w:val="single"/>
        </w:rPr>
      </w:pPr>
      <w:r>
        <w:rPr>
          <w:rFonts w:hint="eastAsia" w:ascii="仿宋_GB2312" w:eastAsia="仿宋_GB2312"/>
          <w:sz w:val="32"/>
          <w:szCs w:val="32"/>
          <w:highlight w:val="none"/>
        </w:rPr>
        <w:t>地址：</w:t>
      </w:r>
      <w:r>
        <w:rPr>
          <w:rFonts w:hint="eastAsia" w:ascii="仿宋_GB2312" w:eastAsia="仿宋_GB2312"/>
          <w:sz w:val="32"/>
          <w:szCs w:val="32"/>
          <w:highlight w:val="none"/>
          <w:u w:val="single"/>
        </w:rPr>
        <w:t xml:space="preserve">                                            </w:t>
      </w:r>
    </w:p>
    <w:p>
      <w:pPr>
        <w:rPr>
          <w:rFonts w:ascii="仿宋_GB2312" w:eastAsia="仿宋_GB2312"/>
          <w:sz w:val="32"/>
          <w:szCs w:val="32"/>
          <w:highlight w:val="none"/>
        </w:rPr>
      </w:pPr>
      <w:r>
        <w:rPr>
          <w:rFonts w:hint="eastAsia" w:ascii="仿宋_GB2312" w:eastAsia="仿宋_GB2312"/>
          <w:sz w:val="32"/>
          <w:szCs w:val="32"/>
          <w:highlight w:val="none"/>
        </w:rPr>
        <w:t>法定代表人：</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联系电话：</w:t>
      </w:r>
      <w:r>
        <w:rPr>
          <w:rFonts w:hint="eastAsia" w:ascii="仿宋_GB2312" w:eastAsia="仿宋_GB2312"/>
          <w:sz w:val="32"/>
          <w:szCs w:val="32"/>
          <w:highlight w:val="none"/>
          <w:u w:val="single"/>
        </w:rPr>
        <w:t xml:space="preserve">               </w:t>
      </w:r>
    </w:p>
    <w:p>
      <w:pPr>
        <w:rPr>
          <w:rFonts w:ascii="仿宋_GB2312" w:eastAsia="仿宋_GB2312"/>
          <w:sz w:val="32"/>
          <w:szCs w:val="32"/>
          <w:highlight w:val="none"/>
          <w:u w:val="single"/>
        </w:rPr>
      </w:pPr>
      <w:r>
        <w:rPr>
          <w:rFonts w:hint="eastAsia" w:ascii="仿宋_GB2312" w:eastAsia="仿宋_GB2312"/>
          <w:sz w:val="32"/>
          <w:szCs w:val="32"/>
          <w:highlight w:val="none"/>
        </w:rPr>
        <w:t>受委托人：</w:t>
      </w:r>
      <w:r>
        <w:rPr>
          <w:rFonts w:hint="eastAsia" w:ascii="仿宋_GB2312" w:eastAsia="仿宋_GB2312"/>
          <w:sz w:val="32"/>
          <w:szCs w:val="32"/>
          <w:highlight w:val="none"/>
          <w:u w:val="single"/>
        </w:rPr>
        <w:t xml:space="preserve">               （身份证号）             </w:t>
      </w:r>
    </w:p>
    <w:p>
      <w:pPr>
        <w:rPr>
          <w:rFonts w:ascii="仿宋_GB2312" w:eastAsia="仿宋_GB2312"/>
          <w:sz w:val="32"/>
          <w:szCs w:val="32"/>
          <w:highlight w:val="none"/>
          <w:u w:val="single"/>
        </w:rPr>
      </w:pPr>
      <w:r>
        <w:rPr>
          <w:rFonts w:hint="eastAsia" w:ascii="仿宋_GB2312" w:eastAsia="仿宋_GB2312"/>
          <w:sz w:val="32"/>
          <w:szCs w:val="32"/>
          <w:highlight w:val="none"/>
        </w:rPr>
        <w:t>工作单位：</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职  务：</w:t>
      </w:r>
      <w:r>
        <w:rPr>
          <w:rFonts w:hint="eastAsia" w:ascii="仿宋_GB2312" w:eastAsia="仿宋_GB2312"/>
          <w:sz w:val="32"/>
          <w:szCs w:val="32"/>
          <w:highlight w:val="none"/>
          <w:u w:val="single"/>
        </w:rPr>
        <w:t xml:space="preserve">                 </w:t>
      </w:r>
    </w:p>
    <w:p>
      <w:pPr>
        <w:rPr>
          <w:rFonts w:ascii="仿宋_GB2312" w:eastAsia="仿宋_GB2312"/>
          <w:sz w:val="32"/>
          <w:szCs w:val="32"/>
          <w:highlight w:val="none"/>
          <w:u w:val="single"/>
        </w:rPr>
      </w:pPr>
      <w:r>
        <w:rPr>
          <w:rFonts w:hint="eastAsia" w:ascii="仿宋_GB2312" w:eastAsia="仿宋_GB2312"/>
          <w:sz w:val="32"/>
          <w:szCs w:val="32"/>
          <w:highlight w:val="none"/>
        </w:rPr>
        <w:t>地址</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电  话：</w:t>
      </w:r>
      <w:r>
        <w:rPr>
          <w:rFonts w:hint="eastAsia" w:ascii="仿宋_GB2312" w:eastAsia="仿宋_GB2312"/>
          <w:sz w:val="32"/>
          <w:szCs w:val="32"/>
          <w:highlight w:val="none"/>
          <w:u w:val="single"/>
        </w:rPr>
        <w:t xml:space="preserve">                 </w:t>
      </w:r>
    </w:p>
    <w:p>
      <w:pPr>
        <w:spacing w:line="560" w:lineRule="exact"/>
        <w:ind w:firstLine="570"/>
        <w:jc w:val="left"/>
        <w:rPr>
          <w:rFonts w:ascii="仿宋_GB2312" w:eastAsia="仿宋_GB2312"/>
          <w:sz w:val="32"/>
          <w:szCs w:val="32"/>
          <w:highlight w:val="none"/>
          <w:u w:val="single"/>
        </w:rPr>
      </w:pPr>
      <w:r>
        <w:rPr>
          <w:rFonts w:hint="eastAsia" w:ascii="仿宋_GB2312" w:eastAsia="仿宋_GB2312"/>
          <w:sz w:val="32"/>
          <w:szCs w:val="32"/>
          <w:highlight w:val="none"/>
        </w:rPr>
        <w:t>现委托上列受委托人作为经办人，代表我单位办理</w:t>
      </w:r>
      <w:r>
        <w:rPr>
          <w:rFonts w:hint="eastAsia" w:ascii="仿宋_GB2312" w:eastAsia="仿宋_GB2312"/>
          <w:sz w:val="32"/>
          <w:szCs w:val="32"/>
          <w:highlight w:val="none"/>
          <w:u w:val="single"/>
        </w:rPr>
        <w:t xml:space="preserve">  </w:t>
      </w:r>
    </w:p>
    <w:p>
      <w:pPr>
        <w:spacing w:line="560" w:lineRule="exact"/>
        <w:jc w:val="left"/>
        <w:rPr>
          <w:rFonts w:ascii="仿宋_GB2312" w:eastAsia="仿宋_GB2312"/>
          <w:sz w:val="32"/>
          <w:szCs w:val="32"/>
          <w:highlight w:val="none"/>
        </w:rPr>
      </w:pP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事项，权限包括提交材料、签收文书、配合补贴事项调查、           等，委托期限自   起至    止。</w:t>
      </w:r>
    </w:p>
    <w:p>
      <w:pPr>
        <w:rPr>
          <w:rFonts w:ascii="仿宋_GB2312" w:eastAsia="仿宋_GB2312"/>
          <w:sz w:val="32"/>
          <w:szCs w:val="32"/>
          <w:highlight w:val="none"/>
        </w:rPr>
      </w:pPr>
    </w:p>
    <w:p>
      <w:pPr>
        <w:rPr>
          <w:rFonts w:ascii="仿宋_GB2312" w:eastAsia="仿宋_GB2312"/>
          <w:sz w:val="32"/>
          <w:szCs w:val="32"/>
          <w:highlight w:val="none"/>
        </w:rPr>
      </w:pPr>
    </w:p>
    <w:p>
      <w:pPr>
        <w:wordWrap w:val="0"/>
        <w:ind w:right="560"/>
        <w:jc w:val="right"/>
        <w:rPr>
          <w:rFonts w:ascii="仿宋_GB2312" w:eastAsia="仿宋_GB2312"/>
          <w:sz w:val="32"/>
          <w:szCs w:val="32"/>
          <w:highlight w:val="none"/>
        </w:rPr>
      </w:pPr>
      <w:r>
        <w:rPr>
          <w:rFonts w:hint="eastAsia" w:ascii="仿宋_GB2312" w:eastAsia="仿宋_GB2312"/>
          <w:sz w:val="32"/>
          <w:szCs w:val="32"/>
          <w:highlight w:val="none"/>
        </w:rPr>
        <w:t xml:space="preserve">                委托单位：（盖章）   </w:t>
      </w:r>
    </w:p>
    <w:p>
      <w:pPr>
        <w:wordWrap w:val="0"/>
        <w:ind w:right="560"/>
        <w:jc w:val="right"/>
        <w:rPr>
          <w:rFonts w:ascii="仿宋_GB2312" w:eastAsia="仿宋_GB2312"/>
          <w:sz w:val="32"/>
          <w:szCs w:val="32"/>
          <w:highlight w:val="none"/>
        </w:rPr>
      </w:pPr>
      <w:r>
        <w:rPr>
          <w:rFonts w:hint="eastAsia" w:ascii="仿宋_GB2312" w:eastAsia="仿宋_GB2312"/>
          <w:sz w:val="32"/>
          <w:szCs w:val="32"/>
          <w:highlight w:val="none"/>
        </w:rPr>
        <w:t xml:space="preserve">   </w:t>
      </w:r>
    </w:p>
    <w:p>
      <w:pPr>
        <w:ind w:right="560" w:firstLine="3040" w:firstLineChars="950"/>
        <w:jc w:val="center"/>
        <w:rPr>
          <w:rFonts w:ascii="仿宋_GB2312" w:eastAsia="仿宋_GB2312"/>
          <w:sz w:val="32"/>
          <w:szCs w:val="32"/>
          <w:highlight w:val="none"/>
        </w:rPr>
      </w:pPr>
      <w:r>
        <w:rPr>
          <w:rFonts w:hint="eastAsia" w:ascii="仿宋_GB2312" w:eastAsia="仿宋_GB2312"/>
          <w:sz w:val="32"/>
          <w:szCs w:val="32"/>
          <w:highlight w:val="none"/>
        </w:rPr>
        <w:t xml:space="preserve"> 日  期：</w:t>
      </w:r>
    </w:p>
    <w:p>
      <w:pPr>
        <w:rPr>
          <w:rFonts w:ascii="仿宋_GB2312" w:eastAsia="仿宋_GB2312"/>
          <w:sz w:val="32"/>
          <w:szCs w:val="32"/>
          <w:highlight w:val="none"/>
        </w:rPr>
      </w:pPr>
      <w:r>
        <w:rPr>
          <w:rFonts w:hint="eastAsia" w:ascii="仿宋_GB2312" w:eastAsia="仿宋_GB2312"/>
          <w:sz w:val="32"/>
          <w:szCs w:val="32"/>
          <w:highlight w:val="none"/>
        </w:rPr>
        <w:br w:type="page"/>
      </w:r>
    </w:p>
    <w:p>
      <w:pPr>
        <w:adjustRightInd w:val="0"/>
        <w:jc w:val="left"/>
        <w:rPr>
          <w:rFonts w:ascii="黑体" w:hAnsi="黑体" w:eastAsia="黑体" w:cs="黑体"/>
          <w:highlight w:val="none"/>
        </w:rPr>
      </w:pPr>
      <w:r>
        <w:rPr>
          <w:rFonts w:hint="eastAsia" w:ascii="黑体" w:hAnsi="黑体" w:eastAsia="黑体" w:cs="黑体"/>
          <w:highlight w:val="none"/>
        </w:rPr>
        <w:t>表4</w:t>
      </w:r>
    </w:p>
    <w:p>
      <w:pPr>
        <w:jc w:val="center"/>
        <w:rPr>
          <w:rFonts w:ascii="宋体" w:hAnsi="宋体"/>
          <w:bCs/>
          <w:sz w:val="44"/>
          <w:szCs w:val="44"/>
          <w:highlight w:val="none"/>
        </w:rPr>
      </w:pPr>
    </w:p>
    <w:p>
      <w:pPr>
        <w:pStyle w:val="2"/>
        <w:adjustRightInd w:val="0"/>
        <w:spacing w:before="0" w:beforeAutospacing="0" w:after="0" w:afterAutospacing="0" w:line="540" w:lineRule="exact"/>
        <w:jc w:val="center"/>
        <w:rPr>
          <w:rFonts w:cs="仿宋_GB2312" w:asciiTheme="minorEastAsia" w:hAnsiTheme="minorEastAsia" w:eastAsiaTheme="minorEastAsia"/>
          <w:color w:val="000000" w:themeColor="text1"/>
          <w:sz w:val="36"/>
          <w:szCs w:val="36"/>
          <w:highlight w:val="none"/>
        </w:rPr>
      </w:pPr>
      <w:bookmarkStart w:id="18" w:name="_Toc12873"/>
      <w:r>
        <w:rPr>
          <w:rFonts w:hint="eastAsia" w:cs="仿宋_GB2312" w:asciiTheme="minorEastAsia" w:hAnsiTheme="minorEastAsia" w:eastAsiaTheme="minorEastAsia"/>
          <w:color w:val="000000" w:themeColor="text1"/>
          <w:sz w:val="36"/>
          <w:szCs w:val="36"/>
          <w:highlight w:val="none"/>
        </w:rPr>
        <w:t>法定代表人身份证明书</w:t>
      </w:r>
      <w:bookmarkEnd w:id="18"/>
    </w:p>
    <w:p>
      <w:pPr>
        <w:rPr>
          <w:rFonts w:ascii="仿宋_GB2312" w:hAnsi="宋体" w:eastAsia="仿宋_GB2312"/>
          <w:sz w:val="32"/>
          <w:szCs w:val="32"/>
          <w:highlight w:val="none"/>
        </w:rPr>
      </w:pPr>
    </w:p>
    <w:p>
      <w:pPr>
        <w:rPr>
          <w:rFonts w:ascii="仿宋_GB2312" w:hAnsi="宋体" w:eastAsia="仿宋_GB2312"/>
          <w:sz w:val="32"/>
          <w:szCs w:val="32"/>
          <w:highlight w:val="none"/>
        </w:rPr>
      </w:pPr>
      <w:r>
        <w:rPr>
          <w:rFonts w:hint="eastAsia" w:ascii="仿宋_GB2312" w:hAnsi="宋体" w:eastAsia="仿宋_GB2312"/>
          <w:sz w:val="32"/>
          <w:szCs w:val="32"/>
          <w:highlight w:val="none"/>
        </w:rPr>
        <w:t>深圳市宝安区XX局：</w:t>
      </w:r>
    </w:p>
    <w:p>
      <w:pPr>
        <w:rPr>
          <w:rFonts w:ascii="仿宋_GB2312" w:hAnsi="宋体" w:eastAsia="仿宋_GB2312"/>
          <w:sz w:val="32"/>
          <w:szCs w:val="32"/>
          <w:highlight w:val="none"/>
        </w:rPr>
      </w:pPr>
    </w:p>
    <w:p>
      <w:pPr>
        <w:ind w:firstLine="660"/>
        <w:rPr>
          <w:rFonts w:ascii="仿宋_GB2312" w:hAnsi="宋体" w:eastAsia="仿宋_GB2312"/>
          <w:sz w:val="32"/>
          <w:szCs w:val="32"/>
          <w:highlight w:val="none"/>
        </w:rPr>
      </w:pPr>
      <w:r>
        <w:rPr>
          <w:rFonts w:hint="eastAsia" w:ascii="仿宋_GB2312" w:hAnsi="宋体" w:eastAsia="仿宋_GB2312"/>
          <w:sz w:val="32"/>
          <w:szCs w:val="32"/>
          <w:highlight w:val="none"/>
        </w:rPr>
        <w:t>兹证明</w:t>
      </w:r>
      <w:r>
        <w:rPr>
          <w:rFonts w:hint="eastAsia" w:ascii="仿宋_GB2312" w:hAnsi="宋体" w:eastAsia="仿宋_GB2312"/>
          <w:sz w:val="32"/>
          <w:szCs w:val="32"/>
          <w:highlight w:val="none"/>
          <w:u w:val="single"/>
        </w:rPr>
        <w:t xml:space="preserve">  </w:t>
      </w:r>
      <w:r>
        <w:rPr>
          <w:rFonts w:ascii="仿宋_GB2312" w:hAnsi="宋体" w:eastAsia="仿宋_GB2312"/>
          <w:sz w:val="32"/>
          <w:szCs w:val="32"/>
          <w:highlight w:val="none"/>
          <w:u w:val="single"/>
        </w:rPr>
        <w:t xml:space="preserve">   </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 xml:space="preserve"> 先生/女士（身份证号码：            ）现任我公司</w:t>
      </w:r>
      <w:r>
        <w:rPr>
          <w:rFonts w:hint="eastAsia" w:ascii="仿宋_GB2312" w:hAnsi="宋体" w:eastAsia="仿宋_GB2312"/>
          <w:sz w:val="32"/>
          <w:szCs w:val="32"/>
          <w:highlight w:val="none"/>
          <w:u w:val="single"/>
        </w:rPr>
        <w:t xml:space="preserve">  </w:t>
      </w:r>
      <w:r>
        <w:rPr>
          <w:rFonts w:ascii="仿宋_GB2312" w:hAnsi="宋体" w:eastAsia="仿宋_GB2312"/>
          <w:sz w:val="32"/>
          <w:szCs w:val="32"/>
          <w:highlight w:val="none"/>
          <w:u w:val="single"/>
        </w:rPr>
        <w:t xml:space="preserve">    </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职务，为我公司法定代表人。</w:t>
      </w:r>
    </w:p>
    <w:p>
      <w:pPr>
        <w:ind w:firstLine="660"/>
        <w:rPr>
          <w:rFonts w:ascii="仿宋_GB2312" w:hAnsi="宋体" w:eastAsia="仿宋_GB2312"/>
          <w:sz w:val="32"/>
          <w:szCs w:val="32"/>
          <w:highlight w:val="none"/>
        </w:rPr>
      </w:pPr>
      <w:r>
        <w:rPr>
          <w:rFonts w:hint="eastAsia" w:ascii="仿宋_GB2312" w:hAnsi="宋体" w:eastAsia="仿宋_GB2312"/>
          <w:sz w:val="32"/>
          <w:szCs w:val="32"/>
          <w:highlight w:val="none"/>
        </w:rPr>
        <w:t>特此证明。</w:t>
      </w:r>
    </w:p>
    <w:p>
      <w:pPr>
        <w:rPr>
          <w:rFonts w:ascii="仿宋_GB2312" w:hAnsi="宋体" w:eastAsia="仿宋_GB2312"/>
          <w:sz w:val="32"/>
          <w:szCs w:val="32"/>
          <w:highlight w:val="none"/>
        </w:rPr>
      </w:pPr>
    </w:p>
    <w:p>
      <w:pPr>
        <w:rPr>
          <w:rFonts w:ascii="仿宋_GB2312" w:hAnsi="宋体" w:eastAsia="仿宋_GB2312"/>
          <w:sz w:val="32"/>
          <w:szCs w:val="32"/>
          <w:highlight w:val="none"/>
        </w:rPr>
      </w:pPr>
    </w:p>
    <w:p>
      <w:pPr>
        <w:rPr>
          <w:rFonts w:ascii="仿宋_GB2312" w:hAnsi="宋体" w:eastAsia="仿宋_GB2312"/>
          <w:sz w:val="32"/>
          <w:szCs w:val="32"/>
          <w:highlight w:val="none"/>
        </w:rPr>
      </w:pPr>
    </w:p>
    <w:p>
      <w:pPr>
        <w:rPr>
          <w:rFonts w:ascii="仿宋_GB2312" w:hAnsi="宋体" w:eastAsia="仿宋_GB2312"/>
          <w:sz w:val="32"/>
          <w:szCs w:val="32"/>
          <w:highlight w:val="none"/>
        </w:rPr>
      </w:pPr>
    </w:p>
    <w:p>
      <w:pPr>
        <w:rPr>
          <w:rFonts w:ascii="仿宋_GB2312" w:hAnsi="宋体" w:eastAsia="仿宋_GB2312"/>
          <w:sz w:val="32"/>
          <w:szCs w:val="32"/>
          <w:highlight w:val="none"/>
        </w:rPr>
      </w:pPr>
    </w:p>
    <w:p>
      <w:pPr>
        <w:wordWrap w:val="0"/>
        <w:ind w:firstLine="2691" w:firstLineChars="841"/>
        <w:jc w:val="right"/>
        <w:rPr>
          <w:rFonts w:ascii="仿宋_GB2312" w:eastAsia="仿宋_GB2312"/>
          <w:sz w:val="32"/>
          <w:szCs w:val="32"/>
          <w:highlight w:val="none"/>
        </w:rPr>
      </w:pPr>
      <w:r>
        <w:rPr>
          <w:rFonts w:hint="eastAsia" w:ascii="仿宋_GB2312" w:eastAsia="仿宋_GB2312"/>
          <w:sz w:val="32"/>
          <w:szCs w:val="32"/>
          <w:highlight w:val="none"/>
        </w:rPr>
        <w:t>公司</w:t>
      </w:r>
      <w:r>
        <w:rPr>
          <w:rFonts w:ascii="仿宋_GB2312" w:eastAsia="仿宋_GB2312"/>
          <w:sz w:val="32"/>
          <w:szCs w:val="32"/>
          <w:highlight w:val="none"/>
        </w:rPr>
        <w:t>名称：（</w:t>
      </w:r>
      <w:r>
        <w:rPr>
          <w:rFonts w:hint="eastAsia" w:ascii="仿宋_GB2312" w:eastAsia="仿宋_GB2312"/>
          <w:sz w:val="32"/>
          <w:szCs w:val="32"/>
          <w:highlight w:val="none"/>
        </w:rPr>
        <w:t>盖章</w:t>
      </w:r>
      <w:r>
        <w:rPr>
          <w:rFonts w:ascii="仿宋_GB2312" w:eastAsia="仿宋_GB2312"/>
          <w:sz w:val="32"/>
          <w:szCs w:val="32"/>
          <w:highlight w:val="none"/>
        </w:rPr>
        <w:t>）</w:t>
      </w:r>
      <w:r>
        <w:rPr>
          <w:rFonts w:hint="eastAsia" w:ascii="仿宋_GB2312" w:eastAsia="仿宋_GB2312"/>
          <w:sz w:val="32"/>
          <w:szCs w:val="32"/>
          <w:highlight w:val="none"/>
        </w:rPr>
        <w:t xml:space="preserve">       </w:t>
      </w:r>
    </w:p>
    <w:p>
      <w:pPr>
        <w:ind w:firstLine="2691" w:firstLineChars="841"/>
        <w:jc w:val="center"/>
        <w:rPr>
          <w:rFonts w:ascii="仿宋_GB2312" w:hAnsi="宋体" w:eastAsia="仿宋_GB2312"/>
          <w:sz w:val="32"/>
          <w:szCs w:val="32"/>
          <w:highlight w:val="none"/>
        </w:rPr>
      </w:pPr>
      <w:r>
        <w:rPr>
          <w:rFonts w:hint="eastAsia" w:ascii="仿宋_GB2312" w:hAnsi="宋体" w:eastAsia="仿宋_GB2312"/>
          <w:sz w:val="32"/>
          <w:szCs w:val="32"/>
          <w:highlight w:val="none"/>
        </w:rPr>
        <w:t>日 期：</w:t>
      </w:r>
    </w:p>
    <w:p>
      <w:pPr>
        <w:rPr>
          <w:rFonts w:ascii="仿宋_GB2312" w:hAnsi="宋体" w:eastAsia="仿宋_GB2312"/>
          <w:sz w:val="32"/>
          <w:szCs w:val="32"/>
          <w:highlight w:val="none"/>
        </w:rPr>
      </w:pPr>
      <w:r>
        <w:rPr>
          <w:rFonts w:hint="eastAsia" w:ascii="仿宋_GB2312" w:hAnsi="宋体" w:eastAsia="仿宋_GB2312"/>
          <w:sz w:val="32"/>
          <w:szCs w:val="32"/>
          <w:highlight w:val="none"/>
        </w:rPr>
        <w:br w:type="page"/>
      </w:r>
    </w:p>
    <w:p>
      <w:pPr>
        <w:adjustRightInd w:val="0"/>
        <w:jc w:val="left"/>
        <w:rPr>
          <w:rFonts w:ascii="黑体" w:hAnsi="黑体" w:eastAsia="黑体" w:cs="黑体"/>
          <w:highlight w:val="none"/>
        </w:rPr>
      </w:pPr>
      <w:r>
        <w:rPr>
          <w:rFonts w:hint="eastAsia" w:ascii="黑体" w:hAnsi="黑体" w:eastAsia="黑体" w:cs="黑体"/>
          <w:highlight w:val="none"/>
        </w:rPr>
        <w:t>表5</w:t>
      </w:r>
    </w:p>
    <w:p>
      <w:pPr>
        <w:jc w:val="center"/>
        <w:rPr>
          <w:rFonts w:ascii="宋体" w:hAnsi="宋体" w:cs="宋体"/>
          <w:b/>
          <w:bCs/>
          <w:sz w:val="44"/>
          <w:szCs w:val="44"/>
          <w:highlight w:val="none"/>
        </w:rPr>
      </w:pPr>
    </w:p>
    <w:p>
      <w:pPr>
        <w:pStyle w:val="2"/>
        <w:adjustRightInd w:val="0"/>
        <w:spacing w:before="0" w:beforeAutospacing="0" w:after="0" w:afterAutospacing="0" w:line="540" w:lineRule="exact"/>
        <w:jc w:val="center"/>
        <w:rPr>
          <w:rFonts w:cs="仿宋_GB2312" w:asciiTheme="minorEastAsia" w:hAnsiTheme="minorEastAsia" w:eastAsiaTheme="minorEastAsia"/>
          <w:color w:val="000000" w:themeColor="text1"/>
          <w:sz w:val="44"/>
          <w:szCs w:val="44"/>
          <w:highlight w:val="none"/>
        </w:rPr>
      </w:pPr>
      <w:bookmarkStart w:id="19" w:name="_Toc26471"/>
      <w:r>
        <w:rPr>
          <w:rFonts w:hint="eastAsia" w:cs="仿宋_GB2312" w:asciiTheme="minorEastAsia" w:hAnsiTheme="minorEastAsia" w:eastAsiaTheme="minorEastAsia"/>
          <w:color w:val="000000" w:themeColor="text1"/>
          <w:sz w:val="44"/>
          <w:szCs w:val="44"/>
          <w:highlight w:val="none"/>
        </w:rPr>
        <w:t xml:space="preserve">宝安区 </w:t>
      </w:r>
      <w:r>
        <w:rPr>
          <w:rFonts w:cs="仿宋_GB2312" w:asciiTheme="minorEastAsia" w:hAnsiTheme="minorEastAsia" w:eastAsiaTheme="minorEastAsia"/>
          <w:color w:val="000000" w:themeColor="text1"/>
          <w:sz w:val="44"/>
          <w:szCs w:val="44"/>
          <w:highlight w:val="none"/>
        </w:rPr>
        <w:t xml:space="preserve">   </w:t>
      </w:r>
      <w:r>
        <w:rPr>
          <w:rFonts w:hint="eastAsia" w:cs="仿宋_GB2312" w:asciiTheme="minorEastAsia" w:hAnsiTheme="minorEastAsia" w:eastAsiaTheme="minorEastAsia"/>
          <w:color w:val="000000" w:themeColor="text1"/>
          <w:sz w:val="44"/>
          <w:szCs w:val="44"/>
          <w:highlight w:val="none"/>
        </w:rPr>
        <w:t>（项目</w:t>
      </w:r>
      <w:r>
        <w:rPr>
          <w:rFonts w:cs="仿宋_GB2312" w:asciiTheme="minorEastAsia" w:hAnsiTheme="minorEastAsia" w:eastAsiaTheme="minorEastAsia"/>
          <w:color w:val="000000" w:themeColor="text1"/>
          <w:sz w:val="44"/>
          <w:szCs w:val="44"/>
          <w:highlight w:val="none"/>
        </w:rPr>
        <w:t>类别</w:t>
      </w:r>
      <w:r>
        <w:rPr>
          <w:rFonts w:hint="eastAsia" w:cs="仿宋_GB2312" w:asciiTheme="minorEastAsia" w:hAnsiTheme="minorEastAsia" w:eastAsiaTheme="minorEastAsia"/>
          <w:color w:val="000000" w:themeColor="text1"/>
          <w:sz w:val="44"/>
          <w:szCs w:val="44"/>
          <w:highlight w:val="none"/>
        </w:rPr>
        <w:t>）受资助承诺书</w:t>
      </w:r>
      <w:bookmarkEnd w:id="19"/>
    </w:p>
    <w:p>
      <w:pPr>
        <w:pStyle w:val="2"/>
        <w:adjustRightInd w:val="0"/>
        <w:spacing w:before="0" w:beforeAutospacing="0" w:after="0" w:afterAutospacing="0" w:line="540" w:lineRule="exact"/>
        <w:jc w:val="center"/>
        <w:rPr>
          <w:rFonts w:cs="仿宋_GB2312" w:asciiTheme="minorEastAsia" w:hAnsiTheme="minorEastAsia" w:eastAsiaTheme="minorEastAsia"/>
          <w:color w:val="000000" w:themeColor="text1"/>
          <w:sz w:val="44"/>
          <w:szCs w:val="44"/>
          <w:highlight w:val="none"/>
        </w:rPr>
      </w:pPr>
      <w:bookmarkStart w:id="20" w:name="_Toc796"/>
      <w:bookmarkStart w:id="21" w:name="_Toc25372"/>
      <w:bookmarkStart w:id="22" w:name="_Toc27426"/>
      <w:bookmarkStart w:id="23" w:name="_Toc6430"/>
      <w:r>
        <w:rPr>
          <w:rFonts w:hint="eastAsia" w:cs="仿宋_GB2312" w:asciiTheme="minorEastAsia" w:hAnsiTheme="minorEastAsia" w:eastAsiaTheme="minorEastAsia"/>
          <w:color w:val="000000" w:themeColor="text1"/>
          <w:sz w:val="44"/>
          <w:szCs w:val="44"/>
          <w:highlight w:val="none"/>
        </w:rPr>
        <w:t>（模板）</w:t>
      </w:r>
      <w:bookmarkEnd w:id="20"/>
      <w:bookmarkEnd w:id="21"/>
      <w:bookmarkEnd w:id="22"/>
      <w:bookmarkEnd w:id="23"/>
    </w:p>
    <w:p>
      <w:pPr>
        <w:spacing w:line="560" w:lineRule="exact"/>
        <w:ind w:firstLine="560" w:firstLineChars="200"/>
        <w:rPr>
          <w:rFonts w:ascii="宋体" w:hAnsi="宋体" w:cs="宋体"/>
          <w:sz w:val="28"/>
          <w:highlight w:val="none"/>
        </w:rPr>
      </w:pPr>
    </w:p>
    <w:p>
      <w:pPr>
        <w:spacing w:line="560" w:lineRule="exact"/>
        <w:ind w:firstLine="560" w:firstLineChars="200"/>
        <w:rPr>
          <w:rFonts w:ascii="宋体" w:hAnsi="宋体" w:cs="宋体"/>
          <w:sz w:val="28"/>
          <w:highlight w:val="none"/>
        </w:rPr>
      </w:pPr>
      <w:r>
        <w:rPr>
          <w:rFonts w:hint="eastAsia" w:ascii="宋体" w:hAnsi="宋体" w:cs="宋体"/>
          <w:color w:val="000000" w:themeColor="text1"/>
          <w:sz w:val="28"/>
          <w:highlight w:val="none"/>
        </w:rPr>
        <w:t>本单位申请</w:t>
      </w:r>
      <w:r>
        <w:rPr>
          <w:rFonts w:ascii="宋体" w:hAnsi="宋体" w:cs="宋体"/>
          <w:color w:val="000000" w:themeColor="text1"/>
          <w:sz w:val="28"/>
          <w:highlight w:val="none"/>
        </w:rPr>
        <w:t>的</w:t>
      </w:r>
      <w:r>
        <w:rPr>
          <w:rFonts w:hint="eastAsia" w:ascii="宋体" w:hAnsi="宋体" w:cs="宋体"/>
          <w:color w:val="000000" w:themeColor="text1"/>
          <w:sz w:val="28"/>
          <w:highlight w:val="none"/>
          <w:u w:val="single"/>
        </w:rPr>
        <w:t xml:space="preserve">   </w:t>
      </w:r>
      <w:r>
        <w:rPr>
          <w:rFonts w:ascii="宋体" w:hAnsi="宋体" w:cs="宋体"/>
          <w:color w:val="000000" w:themeColor="text1"/>
          <w:sz w:val="28"/>
          <w:highlight w:val="none"/>
          <w:u w:val="single"/>
        </w:rPr>
        <w:t xml:space="preserve">   </w:t>
      </w:r>
      <w:r>
        <w:rPr>
          <w:rFonts w:hint="eastAsia" w:ascii="宋体" w:hAnsi="宋体" w:cs="宋体"/>
          <w:color w:val="000000" w:themeColor="text1"/>
          <w:sz w:val="28"/>
          <w:highlight w:val="none"/>
          <w:u w:val="single"/>
        </w:rPr>
        <w:t xml:space="preserve">     </w:t>
      </w:r>
      <w:r>
        <w:rPr>
          <w:rFonts w:ascii="宋体" w:hAnsi="宋体" w:cs="宋体"/>
          <w:i/>
          <w:color w:val="7F7F7F" w:themeColor="background1" w:themeShade="80"/>
          <w:sz w:val="28"/>
          <w:highlight w:val="none"/>
        </w:rPr>
        <w:t xml:space="preserve"> </w:t>
      </w:r>
      <w:r>
        <w:rPr>
          <w:rFonts w:hint="eastAsia" w:ascii="宋体" w:hAnsi="宋体" w:cs="宋体"/>
          <w:iCs/>
          <w:color w:val="7F7F7F" w:themeColor="background1" w:themeShade="80"/>
          <w:sz w:val="28"/>
          <w:highlight w:val="none"/>
        </w:rPr>
        <w:t>（项目类别——项目</w:t>
      </w:r>
      <w:r>
        <w:rPr>
          <w:rFonts w:ascii="宋体" w:hAnsi="宋体" w:cs="宋体"/>
          <w:iCs/>
          <w:color w:val="7F7F7F" w:themeColor="background1" w:themeShade="80"/>
          <w:sz w:val="28"/>
          <w:highlight w:val="none"/>
        </w:rPr>
        <w:t>名称</w:t>
      </w:r>
      <w:r>
        <w:rPr>
          <w:rFonts w:hint="eastAsia" w:ascii="宋体" w:hAnsi="宋体" w:cs="宋体"/>
          <w:iCs/>
          <w:color w:val="7F7F7F" w:themeColor="background1" w:themeShade="80"/>
          <w:sz w:val="28"/>
          <w:highlight w:val="none"/>
        </w:rPr>
        <w:t>）</w:t>
      </w:r>
      <w:r>
        <w:rPr>
          <w:rFonts w:hint="eastAsia" w:ascii="宋体" w:hAnsi="宋体" w:cs="宋体"/>
          <w:i/>
          <w:color w:val="7F7F7F" w:themeColor="background1" w:themeShade="80"/>
          <w:sz w:val="28"/>
          <w:highlight w:val="none"/>
        </w:rPr>
        <w:t xml:space="preserve">  </w:t>
      </w:r>
      <w:r>
        <w:rPr>
          <w:rFonts w:hint="eastAsia" w:ascii="宋体" w:hAnsi="宋体" w:cs="宋体"/>
          <w:i/>
          <w:color w:val="7F7F7F" w:themeColor="background1" w:themeShade="80"/>
          <w:sz w:val="28"/>
          <w:highlight w:val="none"/>
          <w:u w:val="single"/>
        </w:rPr>
        <w:t xml:space="preserve">           </w:t>
      </w:r>
      <w:r>
        <w:rPr>
          <w:rFonts w:ascii="宋体" w:hAnsi="宋体" w:cs="宋体"/>
          <w:i/>
          <w:color w:val="7F7F7F" w:themeColor="background1" w:themeShade="80"/>
          <w:sz w:val="28"/>
          <w:highlight w:val="none"/>
          <w:u w:val="single"/>
        </w:rPr>
        <w:t xml:space="preserve"> </w:t>
      </w:r>
      <w:r>
        <w:rPr>
          <w:rFonts w:hint="eastAsia" w:ascii="宋体" w:hAnsi="宋体" w:cs="宋体"/>
          <w:sz w:val="28"/>
          <w:highlight w:val="none"/>
        </w:rPr>
        <w:t>项目，于</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u w:val="single"/>
        </w:rPr>
        <w:t xml:space="preserve">年 </w:t>
      </w:r>
      <w:r>
        <w:rPr>
          <w:rFonts w:ascii="宋体" w:hAnsi="宋体" w:cs="宋体"/>
          <w:sz w:val="28"/>
          <w:highlight w:val="none"/>
          <w:u w:val="single"/>
        </w:rPr>
        <w:t xml:space="preserve"> </w:t>
      </w:r>
      <w:r>
        <w:rPr>
          <w:rFonts w:hint="eastAsia" w:ascii="宋体" w:hAnsi="宋体" w:cs="宋体"/>
          <w:sz w:val="28"/>
          <w:highlight w:val="none"/>
          <w:u w:val="single"/>
        </w:rPr>
        <w:t xml:space="preserve">月 </w:t>
      </w:r>
      <w:r>
        <w:rPr>
          <w:rFonts w:ascii="宋体" w:hAnsi="宋体" w:cs="宋体"/>
          <w:sz w:val="28"/>
          <w:highlight w:val="none"/>
          <w:u w:val="single"/>
        </w:rPr>
        <w:t xml:space="preserve"> </w:t>
      </w:r>
      <w:r>
        <w:rPr>
          <w:rFonts w:hint="eastAsia" w:ascii="宋体" w:hAnsi="宋体" w:cs="宋体"/>
          <w:sz w:val="28"/>
          <w:highlight w:val="none"/>
          <w:u w:val="single"/>
        </w:rPr>
        <w:t>日</w:t>
      </w:r>
      <w:r>
        <w:rPr>
          <w:rFonts w:hint="eastAsia" w:ascii="宋体" w:hAnsi="宋体" w:cs="宋体"/>
          <w:iCs/>
          <w:color w:val="7F7F7F" w:themeColor="background1" w:themeShade="80"/>
          <w:sz w:val="28"/>
          <w:highlight w:val="none"/>
        </w:rPr>
        <w:t>（日期由业务科室根据立项文件落款时间填写）</w:t>
      </w:r>
      <w:r>
        <w:rPr>
          <w:rFonts w:hint="eastAsia" w:ascii="宋体" w:hAnsi="宋体" w:cs="宋体"/>
          <w:sz w:val="28"/>
          <w:highlight w:val="none"/>
        </w:rPr>
        <w:t>获得</w:t>
      </w:r>
      <w:r>
        <w:rPr>
          <w:rFonts w:ascii="宋体" w:hAnsi="宋体" w:cs="宋体"/>
          <w:sz w:val="28"/>
          <w:highlight w:val="none"/>
        </w:rPr>
        <w:t>宝安区</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ascii="宋体" w:hAnsi="宋体" w:cs="宋体"/>
          <w:sz w:val="28"/>
          <w:highlight w:val="none"/>
        </w:rPr>
        <w:t>局</w:t>
      </w:r>
      <w:r>
        <w:rPr>
          <w:rFonts w:hint="eastAsia" w:ascii="宋体" w:hAnsi="宋体" w:cs="宋体"/>
          <w:sz w:val="28"/>
          <w:highlight w:val="none"/>
        </w:rPr>
        <w:t>立项资助</w:t>
      </w:r>
      <w:r>
        <w:rPr>
          <w:rFonts w:ascii="宋体" w:hAnsi="宋体" w:cs="宋体"/>
          <w:sz w:val="28"/>
          <w:highlight w:val="none"/>
        </w:rPr>
        <w:t>，</w:t>
      </w:r>
      <w:r>
        <w:rPr>
          <w:rFonts w:hint="eastAsia" w:ascii="宋体" w:hAnsi="宋体" w:cs="宋体"/>
          <w:sz w:val="28"/>
          <w:highlight w:val="none"/>
        </w:rPr>
        <w:t>资助</w:t>
      </w:r>
      <w:r>
        <w:rPr>
          <w:rFonts w:ascii="宋体" w:hAnsi="宋体" w:cs="宋体"/>
          <w:sz w:val="28"/>
          <w:highlight w:val="none"/>
        </w:rPr>
        <w:t>金额</w:t>
      </w:r>
      <w:r>
        <w:rPr>
          <w:rFonts w:hint="eastAsia" w:ascii="宋体" w:hAnsi="宋体" w:cs="宋体"/>
          <w:sz w:val="28"/>
          <w:highlight w:val="none"/>
        </w:rPr>
        <w:t xml:space="preserve"> </w:t>
      </w:r>
      <w:r>
        <w:rPr>
          <w:rFonts w:hint="eastAsia" w:ascii="宋体" w:hAnsi="宋体" w:cs="宋体"/>
          <w:sz w:val="28"/>
          <w:highlight w:val="none"/>
          <w:u w:val="single"/>
        </w:rPr>
        <w:t xml:space="preserve">  </w:t>
      </w:r>
      <w:r>
        <w:rPr>
          <w:rFonts w:ascii="宋体" w:hAnsi="宋体" w:cs="宋体"/>
          <w:i/>
          <w:sz w:val="28"/>
          <w:highlight w:val="none"/>
          <w:u w:val="single"/>
        </w:rPr>
        <w:t xml:space="preserve">    </w:t>
      </w:r>
      <w:r>
        <w:rPr>
          <w:rFonts w:hint="eastAsia" w:ascii="宋体" w:hAnsi="宋体" w:cs="宋体"/>
          <w:sz w:val="28"/>
          <w:highlight w:val="none"/>
        </w:rPr>
        <w:t>万元</w:t>
      </w:r>
      <w:r>
        <w:rPr>
          <w:rFonts w:ascii="宋体" w:hAnsi="宋体" w:cs="宋体"/>
          <w:sz w:val="28"/>
          <w:highlight w:val="none"/>
        </w:rPr>
        <w:t>，</w:t>
      </w:r>
      <w:r>
        <w:rPr>
          <w:rFonts w:hint="eastAsia" w:ascii="宋体" w:hAnsi="宋体" w:cs="宋体"/>
          <w:sz w:val="28"/>
          <w:highlight w:val="none"/>
        </w:rPr>
        <w:t>现郑重承诺</w:t>
      </w:r>
      <w:r>
        <w:rPr>
          <w:rFonts w:ascii="宋体" w:hAnsi="宋体" w:cs="宋体"/>
          <w:sz w:val="28"/>
          <w:highlight w:val="none"/>
        </w:rPr>
        <w:t>如下：</w:t>
      </w:r>
    </w:p>
    <w:p>
      <w:pPr>
        <w:spacing w:line="560" w:lineRule="exact"/>
        <w:ind w:firstLine="560" w:firstLineChars="200"/>
        <w:rPr>
          <w:rFonts w:ascii="宋体" w:hAnsi="宋体" w:cs="宋体"/>
          <w:sz w:val="28"/>
          <w:highlight w:val="none"/>
        </w:rPr>
      </w:pPr>
      <w:r>
        <w:rPr>
          <w:rFonts w:ascii="宋体" w:hAnsi="宋体" w:cs="宋体"/>
          <w:sz w:val="28"/>
          <w:highlight w:val="none"/>
        </w:rPr>
        <w:t>1</w:t>
      </w:r>
      <w:r>
        <w:rPr>
          <w:rFonts w:hint="eastAsia" w:ascii="宋体" w:hAnsi="宋体" w:cs="宋体"/>
          <w:sz w:val="28"/>
          <w:highlight w:val="none"/>
        </w:rPr>
        <w:t>、</w:t>
      </w:r>
      <w:r>
        <w:rPr>
          <w:rFonts w:ascii="宋体" w:hAnsi="宋体" w:cs="宋体"/>
          <w:sz w:val="28"/>
          <w:highlight w:val="none"/>
        </w:rPr>
        <w:t>本单位</w:t>
      </w:r>
      <w:r>
        <w:rPr>
          <w:rFonts w:hint="eastAsia" w:ascii="宋体" w:hAnsi="宋体" w:cs="宋体"/>
          <w:sz w:val="28"/>
          <w:highlight w:val="none"/>
        </w:rPr>
        <w:t>承诺受资助</w:t>
      </w:r>
      <w:r>
        <w:rPr>
          <w:rFonts w:ascii="宋体" w:hAnsi="宋体" w:cs="宋体"/>
          <w:sz w:val="28"/>
          <w:highlight w:val="none"/>
        </w:rPr>
        <w:t>之日起</w:t>
      </w:r>
      <w:r>
        <w:rPr>
          <w:rFonts w:hint="eastAsia" w:ascii="宋体" w:hAnsi="宋体" w:cs="宋体"/>
          <w:sz w:val="28"/>
          <w:highlight w:val="none"/>
        </w:rPr>
        <w:t>3年内注册登记地不搬离宝安区、不改变在宝安区的纳税义务和统计数据申报义务，并</w:t>
      </w:r>
      <w:r>
        <w:rPr>
          <w:rFonts w:ascii="宋体" w:hAnsi="宋体" w:cs="宋体"/>
          <w:sz w:val="28"/>
          <w:highlight w:val="none"/>
        </w:rPr>
        <w:t>配合相关职能部门履行好社会责任</w:t>
      </w:r>
      <w:r>
        <w:rPr>
          <w:rFonts w:hint="eastAsia" w:ascii="宋体" w:hAnsi="宋体" w:cs="宋体"/>
          <w:sz w:val="28"/>
          <w:highlight w:val="none"/>
        </w:rPr>
        <w:t>；</w:t>
      </w:r>
    </w:p>
    <w:p>
      <w:pPr>
        <w:spacing w:line="560" w:lineRule="exact"/>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2、本单位承诺自觉</w:t>
      </w:r>
      <w:r>
        <w:rPr>
          <w:rFonts w:ascii="宋体" w:hAnsi="宋体" w:cs="宋体"/>
          <w:color w:val="000000" w:themeColor="text1"/>
          <w:sz w:val="28"/>
          <w:highlight w:val="none"/>
        </w:rPr>
        <w:t>接受</w:t>
      </w:r>
      <w:r>
        <w:rPr>
          <w:rFonts w:hint="eastAsia" w:ascii="宋体" w:hAnsi="宋体" w:cs="宋体"/>
          <w:color w:val="000000" w:themeColor="text1"/>
          <w:sz w:val="28"/>
          <w:highlight w:val="none"/>
        </w:rPr>
        <w:t>宝安</w:t>
      </w:r>
      <w:r>
        <w:rPr>
          <w:rFonts w:ascii="宋体" w:hAnsi="宋体" w:cs="宋体"/>
          <w:color w:val="000000" w:themeColor="text1"/>
          <w:sz w:val="28"/>
          <w:highlight w:val="none"/>
        </w:rPr>
        <w:t>区纪委监委、财政局、审计局及其他监督机构的监督检查，按照</w:t>
      </w:r>
      <w:r>
        <w:rPr>
          <w:rFonts w:hint="eastAsia" w:ascii="宋体" w:hAnsi="宋体" w:cs="宋体"/>
          <w:color w:val="000000" w:themeColor="text1"/>
          <w:sz w:val="28"/>
          <w:highlight w:val="none"/>
        </w:rPr>
        <w:t>相关</w:t>
      </w:r>
      <w:r>
        <w:rPr>
          <w:rFonts w:ascii="宋体" w:hAnsi="宋体" w:cs="宋体"/>
          <w:color w:val="000000" w:themeColor="text1"/>
          <w:sz w:val="28"/>
          <w:highlight w:val="none"/>
        </w:rPr>
        <w:t>部门要求及时报送项目资金使用情况、项目绩效</w:t>
      </w:r>
      <w:r>
        <w:rPr>
          <w:rFonts w:hint="eastAsia" w:ascii="宋体" w:hAnsi="宋体" w:cs="宋体"/>
          <w:color w:val="000000" w:themeColor="text1"/>
          <w:sz w:val="28"/>
          <w:highlight w:val="none"/>
        </w:rPr>
        <w:t>、</w:t>
      </w:r>
      <w:r>
        <w:rPr>
          <w:rFonts w:ascii="宋体" w:hAnsi="宋体" w:cs="宋体"/>
          <w:color w:val="000000" w:themeColor="text1"/>
          <w:sz w:val="28"/>
          <w:highlight w:val="none"/>
        </w:rPr>
        <w:t>财务报表等相关资料</w:t>
      </w:r>
      <w:r>
        <w:rPr>
          <w:rFonts w:hint="eastAsia" w:ascii="宋体" w:hAnsi="宋体" w:cs="宋体"/>
          <w:color w:val="000000" w:themeColor="text1"/>
          <w:sz w:val="28"/>
          <w:highlight w:val="none"/>
        </w:rPr>
        <w:t>。</w:t>
      </w:r>
    </w:p>
    <w:p>
      <w:pPr>
        <w:spacing w:line="560" w:lineRule="exact"/>
        <w:ind w:firstLine="560" w:firstLineChars="200"/>
        <w:rPr>
          <w:rFonts w:ascii="宋体" w:hAnsi="宋体" w:cs="宋体"/>
          <w:color w:val="000000" w:themeColor="text1"/>
          <w:sz w:val="28"/>
          <w:highlight w:val="none"/>
        </w:rPr>
      </w:pPr>
      <w:r>
        <w:rPr>
          <w:rFonts w:hint="eastAsia" w:ascii="宋体" w:hAnsi="宋体" w:cs="宋体"/>
          <w:color w:val="000000" w:themeColor="text1"/>
          <w:sz w:val="28"/>
          <w:highlight w:val="none"/>
        </w:rPr>
        <w:t>若本单位</w:t>
      </w:r>
      <w:r>
        <w:rPr>
          <w:rFonts w:ascii="宋体" w:hAnsi="宋体" w:cs="宋体"/>
          <w:color w:val="000000" w:themeColor="text1"/>
          <w:sz w:val="28"/>
          <w:highlight w:val="none"/>
        </w:rPr>
        <w:t>存在弄虚作假、骗取配套资金，</w:t>
      </w:r>
      <w:r>
        <w:rPr>
          <w:rFonts w:hint="eastAsia" w:ascii="宋体" w:hAnsi="宋体" w:cs="宋体"/>
          <w:color w:val="000000" w:themeColor="text1"/>
          <w:sz w:val="28"/>
          <w:highlight w:val="none"/>
        </w:rPr>
        <w:t>或违反</w:t>
      </w:r>
      <w:r>
        <w:rPr>
          <w:rFonts w:ascii="宋体" w:hAnsi="宋体" w:cs="宋体"/>
          <w:color w:val="000000" w:themeColor="text1"/>
          <w:sz w:val="28"/>
          <w:highlight w:val="none"/>
        </w:rPr>
        <w:t>上述承诺的</w:t>
      </w:r>
      <w:r>
        <w:rPr>
          <w:rFonts w:hint="eastAsia" w:ascii="宋体" w:hAnsi="宋体" w:cs="宋体"/>
          <w:color w:val="000000" w:themeColor="text1"/>
          <w:sz w:val="28"/>
          <w:highlight w:val="none"/>
        </w:rPr>
        <w:t>情形</w:t>
      </w:r>
      <w:r>
        <w:rPr>
          <w:rFonts w:ascii="宋体" w:hAnsi="宋体" w:cs="宋体"/>
          <w:color w:val="000000" w:themeColor="text1"/>
          <w:sz w:val="28"/>
          <w:highlight w:val="none"/>
        </w:rPr>
        <w:t>，</w:t>
      </w:r>
      <w:r>
        <w:rPr>
          <w:rFonts w:hint="eastAsia" w:ascii="宋体" w:hAnsi="宋体" w:cs="宋体"/>
          <w:color w:val="000000" w:themeColor="text1"/>
          <w:sz w:val="28"/>
          <w:highlight w:val="none"/>
        </w:rPr>
        <w:t>本单位愿意</w:t>
      </w:r>
      <w:r>
        <w:rPr>
          <w:rFonts w:hint="eastAsia" w:ascii="宋体" w:hAnsi="宋体" w:cs="宋体"/>
          <w:color w:val="000000"/>
          <w:sz w:val="28"/>
          <w:highlight w:val="none"/>
        </w:rPr>
        <w:t>无条件返还全部资助资金，并</w:t>
      </w:r>
      <w:r>
        <w:rPr>
          <w:rFonts w:hint="eastAsia" w:ascii="宋体" w:hAnsi="宋体" w:cs="宋体"/>
          <w:color w:val="000000" w:themeColor="text1"/>
          <w:sz w:val="28"/>
          <w:highlight w:val="none"/>
        </w:rPr>
        <w:t>承担相应的法律责任</w:t>
      </w:r>
      <w:r>
        <w:rPr>
          <w:rFonts w:hint="eastAsia" w:ascii="宋体" w:hAnsi="宋体" w:cs="宋体"/>
          <w:color w:val="000000"/>
          <w:sz w:val="28"/>
          <w:highlight w:val="none"/>
        </w:rPr>
        <w:t>。</w:t>
      </w:r>
    </w:p>
    <w:p>
      <w:pPr>
        <w:spacing w:line="560" w:lineRule="exact"/>
        <w:ind w:firstLine="2295" w:firstLineChars="850"/>
        <w:rPr>
          <w:rFonts w:ascii="宋体" w:hAnsi="宋体"/>
          <w:color w:val="000000" w:themeColor="text1"/>
          <w:sz w:val="27"/>
          <w:highlight w:val="none"/>
        </w:rPr>
      </w:pPr>
    </w:p>
    <w:p>
      <w:pPr>
        <w:spacing w:line="560" w:lineRule="exact"/>
        <w:ind w:firstLine="2295" w:firstLineChars="850"/>
        <w:rPr>
          <w:rFonts w:ascii="宋体" w:hAnsi="宋体"/>
          <w:color w:val="000000" w:themeColor="text1"/>
          <w:sz w:val="27"/>
          <w:highlight w:val="none"/>
        </w:rPr>
      </w:pPr>
    </w:p>
    <w:p>
      <w:pPr>
        <w:spacing w:line="560" w:lineRule="exact"/>
        <w:ind w:firstLine="2295" w:firstLineChars="850"/>
        <w:rPr>
          <w:rFonts w:ascii="宋体" w:hAnsi="宋体"/>
          <w:color w:val="000000" w:themeColor="text1"/>
          <w:sz w:val="27"/>
          <w:highlight w:val="none"/>
          <w:u w:val="single"/>
        </w:rPr>
      </w:pPr>
      <w:r>
        <w:rPr>
          <w:rFonts w:hint="eastAsia" w:ascii="宋体" w:hAnsi="宋体"/>
          <w:color w:val="000000" w:themeColor="text1"/>
          <w:sz w:val="27"/>
          <w:highlight w:val="none"/>
        </w:rPr>
        <w:t>承诺</w:t>
      </w:r>
      <w:r>
        <w:rPr>
          <w:rFonts w:ascii="宋体" w:hAnsi="宋体"/>
          <w:color w:val="000000" w:themeColor="text1"/>
          <w:sz w:val="27"/>
          <w:highlight w:val="none"/>
        </w:rPr>
        <w:t>单位名称（</w:t>
      </w:r>
      <w:r>
        <w:rPr>
          <w:rFonts w:hint="eastAsia" w:ascii="宋体" w:hAnsi="宋体"/>
          <w:color w:val="000000" w:themeColor="text1"/>
          <w:sz w:val="27"/>
          <w:highlight w:val="none"/>
        </w:rPr>
        <w:t>加盖</w:t>
      </w:r>
      <w:r>
        <w:rPr>
          <w:rFonts w:ascii="宋体" w:hAnsi="宋体"/>
          <w:color w:val="000000" w:themeColor="text1"/>
          <w:sz w:val="27"/>
          <w:highlight w:val="none"/>
        </w:rPr>
        <w:t>公章）</w:t>
      </w:r>
      <w:r>
        <w:rPr>
          <w:rFonts w:hint="eastAsia" w:ascii="宋体" w:hAnsi="宋体"/>
          <w:color w:val="000000" w:themeColor="text1"/>
          <w:sz w:val="27"/>
          <w:highlight w:val="none"/>
        </w:rPr>
        <w:t>：</w:t>
      </w:r>
      <w:r>
        <w:rPr>
          <w:rFonts w:hint="eastAsia" w:ascii="宋体" w:hAnsi="宋体"/>
          <w:color w:val="000000" w:themeColor="text1"/>
          <w:sz w:val="27"/>
          <w:highlight w:val="none"/>
          <w:u w:val="single"/>
        </w:rPr>
        <w:t xml:space="preserve">                  </w:t>
      </w:r>
    </w:p>
    <w:p>
      <w:pPr>
        <w:spacing w:line="560" w:lineRule="exact"/>
        <w:ind w:firstLine="3375" w:firstLineChars="1250"/>
        <w:rPr>
          <w:rFonts w:ascii="宋体" w:hAnsi="宋体"/>
          <w:color w:val="000000" w:themeColor="text1"/>
          <w:sz w:val="27"/>
          <w:highlight w:val="none"/>
          <w:u w:val="single"/>
        </w:rPr>
      </w:pPr>
      <w:r>
        <w:rPr>
          <w:rFonts w:ascii="宋体" w:hAnsi="宋体"/>
          <w:color w:val="000000" w:themeColor="text1"/>
          <w:sz w:val="27"/>
          <w:highlight w:val="none"/>
        </w:rPr>
        <w:t xml:space="preserve">  </w:t>
      </w:r>
      <w:r>
        <w:rPr>
          <w:rFonts w:hint="eastAsia" w:ascii="宋体" w:hAnsi="宋体"/>
          <w:color w:val="000000" w:themeColor="text1"/>
          <w:sz w:val="27"/>
          <w:highlight w:val="none"/>
        </w:rPr>
        <w:t>法定</w:t>
      </w:r>
      <w:r>
        <w:rPr>
          <w:rFonts w:ascii="宋体" w:hAnsi="宋体"/>
          <w:color w:val="000000" w:themeColor="text1"/>
          <w:sz w:val="27"/>
          <w:highlight w:val="none"/>
        </w:rPr>
        <w:t>代表人签字：</w:t>
      </w:r>
      <w:r>
        <w:rPr>
          <w:rFonts w:ascii="宋体" w:hAnsi="宋体"/>
          <w:color w:val="000000" w:themeColor="text1"/>
          <w:sz w:val="27"/>
          <w:highlight w:val="none"/>
          <w:u w:val="single"/>
        </w:rPr>
        <w:t xml:space="preserve">                  </w:t>
      </w:r>
    </w:p>
    <w:p>
      <w:pPr>
        <w:spacing w:line="560" w:lineRule="exact"/>
        <w:ind w:firstLine="4455" w:firstLineChars="1650"/>
        <w:rPr>
          <w:rFonts w:ascii="宋体" w:hAnsi="宋体"/>
          <w:color w:val="000000" w:themeColor="text1"/>
          <w:sz w:val="27"/>
          <w:highlight w:val="none"/>
          <w:u w:val="single"/>
        </w:rPr>
      </w:pPr>
      <w:r>
        <w:rPr>
          <w:rFonts w:hint="eastAsia" w:ascii="宋体" w:hAnsi="宋体"/>
          <w:color w:val="000000" w:themeColor="text1"/>
          <w:sz w:val="27"/>
          <w:highlight w:val="none"/>
        </w:rPr>
        <w:t>联系</w:t>
      </w:r>
      <w:r>
        <w:rPr>
          <w:rFonts w:ascii="宋体" w:hAnsi="宋体"/>
          <w:color w:val="000000" w:themeColor="text1"/>
          <w:sz w:val="27"/>
          <w:highlight w:val="none"/>
        </w:rPr>
        <w:t>电话</w:t>
      </w:r>
      <w:r>
        <w:rPr>
          <w:rFonts w:hint="eastAsia" w:ascii="宋体" w:hAnsi="宋体"/>
          <w:color w:val="000000" w:themeColor="text1"/>
          <w:sz w:val="27"/>
          <w:highlight w:val="none"/>
        </w:rPr>
        <w:t>：</w:t>
      </w:r>
      <w:r>
        <w:rPr>
          <w:rFonts w:ascii="宋体" w:hAnsi="宋体"/>
          <w:color w:val="000000" w:themeColor="text1"/>
          <w:sz w:val="27"/>
          <w:highlight w:val="none"/>
          <w:u w:val="single"/>
        </w:rPr>
        <w:t xml:space="preserve">                  </w:t>
      </w:r>
    </w:p>
    <w:p>
      <w:pPr>
        <w:spacing w:line="560" w:lineRule="exact"/>
        <w:ind w:firstLine="4995" w:firstLineChars="1850"/>
        <w:rPr>
          <w:rFonts w:ascii="宋体" w:hAnsi="宋体"/>
          <w:color w:val="000000" w:themeColor="text1"/>
          <w:sz w:val="27"/>
          <w:highlight w:val="none"/>
          <w:u w:val="single"/>
        </w:rPr>
      </w:pPr>
      <w:r>
        <w:rPr>
          <w:rFonts w:hint="eastAsia" w:ascii="宋体" w:hAnsi="宋体"/>
          <w:color w:val="000000" w:themeColor="text1"/>
          <w:sz w:val="27"/>
          <w:highlight w:val="none"/>
        </w:rPr>
        <w:t>日期：</w:t>
      </w:r>
      <w:r>
        <w:rPr>
          <w:rFonts w:ascii="宋体" w:hAnsi="宋体"/>
          <w:color w:val="000000" w:themeColor="text1"/>
          <w:sz w:val="27"/>
          <w:highlight w:val="none"/>
          <w:u w:val="single"/>
        </w:rPr>
        <w:t xml:space="preserve">                  </w:t>
      </w:r>
    </w:p>
    <w:p>
      <w:pPr>
        <w:ind w:firstLine="2691" w:firstLineChars="841"/>
        <w:jc w:val="center"/>
        <w:rPr>
          <w:rFonts w:ascii="仿宋_GB2312" w:hAnsi="宋体" w:eastAsia="仿宋_GB2312"/>
          <w:sz w:val="32"/>
          <w:szCs w:val="32"/>
          <w:highlight w:val="none"/>
        </w:rPr>
      </w:pPr>
    </w:p>
    <w:p>
      <w:pPr>
        <w:ind w:right="560"/>
        <w:jc w:val="right"/>
        <w:rPr>
          <w:rFonts w:ascii="仿宋_GB2312" w:eastAsia="仿宋_GB2312"/>
          <w:sz w:val="32"/>
          <w:szCs w:val="32"/>
          <w:highlight w:val="none"/>
        </w:rPr>
      </w:pPr>
      <w:r>
        <w:rPr>
          <w:rFonts w:hint="eastAsia" w:ascii="仿宋_GB2312" w:eastAsia="仿宋_GB2312"/>
          <w:sz w:val="32"/>
          <w:szCs w:val="32"/>
          <w:highlight w:val="none"/>
        </w:rPr>
        <w:t xml:space="preserve">   </w:t>
      </w:r>
      <w:r>
        <w:rPr>
          <w:rFonts w:ascii="仿宋_GB2312" w:eastAsia="仿宋_GB2312"/>
          <w:sz w:val="32"/>
          <w:szCs w:val="32"/>
          <w:highlight w:val="none"/>
        </w:rPr>
        <w:br w:type="page"/>
      </w:r>
    </w:p>
    <w:p>
      <w:pPr>
        <w:adjustRightInd w:val="0"/>
        <w:jc w:val="left"/>
        <w:rPr>
          <w:rFonts w:ascii="黑体" w:hAnsi="黑体" w:eastAsia="黑体" w:cs="黑体"/>
          <w:highlight w:val="none"/>
        </w:rPr>
      </w:pPr>
      <w:r>
        <w:rPr>
          <w:rFonts w:hint="eastAsia" w:ascii="黑体" w:hAnsi="黑体" w:eastAsia="黑体" w:cs="黑体"/>
          <w:highlight w:val="none"/>
        </w:rPr>
        <w:t>表6</w:t>
      </w:r>
    </w:p>
    <w:p>
      <w:pPr>
        <w:adjustRightInd w:val="0"/>
        <w:jc w:val="left"/>
        <w:rPr>
          <w:rFonts w:asciiTheme="minorEastAsia" w:hAnsiTheme="minorEastAsia"/>
          <w:sz w:val="32"/>
          <w:szCs w:val="32"/>
          <w:highlight w:val="none"/>
        </w:rPr>
      </w:pPr>
    </w:p>
    <w:p>
      <w:pPr>
        <w:pStyle w:val="2"/>
        <w:adjustRightInd w:val="0"/>
        <w:spacing w:before="0" w:beforeAutospacing="0" w:after="0" w:afterAutospacing="0" w:line="540" w:lineRule="exact"/>
        <w:jc w:val="center"/>
        <w:rPr>
          <w:rFonts w:cs="仿宋_GB2312" w:asciiTheme="minorEastAsia" w:hAnsiTheme="minorEastAsia" w:eastAsiaTheme="minorEastAsia"/>
          <w:color w:val="000000" w:themeColor="text1"/>
          <w:sz w:val="36"/>
          <w:szCs w:val="36"/>
          <w:highlight w:val="none"/>
        </w:rPr>
      </w:pPr>
      <w:bookmarkStart w:id="24" w:name="_Toc36825095"/>
      <w:bookmarkStart w:id="25" w:name="_Toc11426"/>
      <w:r>
        <w:rPr>
          <w:rFonts w:hint="eastAsia" w:cs="仿宋_GB2312" w:asciiTheme="minorEastAsia" w:hAnsiTheme="minorEastAsia" w:eastAsiaTheme="minorEastAsia"/>
          <w:color w:val="000000" w:themeColor="text1"/>
          <w:sz w:val="36"/>
          <w:szCs w:val="36"/>
          <w:highlight w:val="none"/>
        </w:rPr>
        <w:t>宝安区</w:t>
      </w:r>
      <w:r>
        <w:rPr>
          <w:rFonts w:cs="仿宋_GB2312" w:asciiTheme="minorEastAsia" w:hAnsiTheme="minorEastAsia" w:eastAsiaTheme="minorEastAsia"/>
          <w:color w:val="000000" w:themeColor="text1"/>
          <w:sz w:val="36"/>
          <w:szCs w:val="36"/>
          <w:highlight w:val="none"/>
        </w:rPr>
        <w:t>专业服务业企业购置办公用房补贴</w:t>
      </w:r>
      <w:bookmarkEnd w:id="24"/>
      <w:bookmarkStart w:id="26" w:name="_Toc36825061"/>
      <w:r>
        <w:rPr>
          <w:rFonts w:hint="eastAsia" w:cs="仿宋_GB2312" w:asciiTheme="minorEastAsia" w:hAnsiTheme="minorEastAsia" w:eastAsiaTheme="minorEastAsia"/>
          <w:color w:val="000000" w:themeColor="text1"/>
          <w:sz w:val="36"/>
          <w:szCs w:val="36"/>
          <w:highlight w:val="none"/>
        </w:rPr>
        <w:t>产业</w:t>
      </w:r>
      <w:r>
        <w:rPr>
          <w:rFonts w:cs="仿宋_GB2312" w:asciiTheme="minorEastAsia" w:hAnsiTheme="minorEastAsia" w:eastAsiaTheme="minorEastAsia"/>
          <w:color w:val="000000" w:themeColor="text1"/>
          <w:sz w:val="36"/>
          <w:szCs w:val="36"/>
          <w:highlight w:val="none"/>
        </w:rPr>
        <w:t>发展监管协议</w:t>
      </w:r>
      <w:bookmarkEnd w:id="26"/>
      <w:r>
        <w:rPr>
          <w:rFonts w:hint="eastAsia" w:cs="仿宋_GB2312" w:asciiTheme="minorEastAsia" w:hAnsiTheme="minorEastAsia" w:eastAsiaTheme="minorEastAsia"/>
          <w:color w:val="000000" w:themeColor="text1"/>
          <w:sz w:val="36"/>
          <w:szCs w:val="36"/>
          <w:highlight w:val="none"/>
        </w:rPr>
        <w:t>（模板）</w:t>
      </w:r>
      <w:bookmarkEnd w:id="25"/>
    </w:p>
    <w:p>
      <w:pPr>
        <w:adjustRightInd w:val="0"/>
        <w:jc w:val="center"/>
        <w:rPr>
          <w:rFonts w:asciiTheme="minorEastAsia" w:hAnsiTheme="minorEastAsia"/>
          <w:sz w:val="48"/>
          <w:szCs w:val="48"/>
          <w:highlight w:val="none"/>
        </w:rPr>
      </w:pPr>
    </w:p>
    <w:p>
      <w:pPr>
        <w:spacing w:line="560" w:lineRule="exact"/>
        <w:ind w:firstLine="1209" w:firstLineChars="403"/>
        <w:rPr>
          <w:rFonts w:ascii="仿宋_GB2312" w:hAnsi="仿宋_GB2312" w:eastAsia="仿宋_GB2312" w:cs="仿宋_GB2312"/>
          <w:color w:val="000000"/>
          <w:spacing w:val="-10"/>
          <w:sz w:val="32"/>
          <w:szCs w:val="32"/>
          <w:highlight w:val="none"/>
          <w:u w:val="single"/>
        </w:rPr>
      </w:pPr>
      <w:r>
        <w:rPr>
          <w:rFonts w:hint="eastAsia" w:ascii="仿宋_GB2312" w:hAnsi="仿宋_GB2312" w:eastAsia="仿宋_GB2312" w:cs="仿宋_GB2312"/>
          <w:color w:val="000000"/>
          <w:spacing w:val="-10"/>
          <w:sz w:val="32"/>
          <w:szCs w:val="32"/>
          <w:highlight w:val="none"/>
        </w:rPr>
        <w:t>项目名称</w:t>
      </w:r>
      <w:r>
        <w:rPr>
          <w:rFonts w:ascii="仿宋_GB2312" w:hAnsi="仿宋_GB2312" w:eastAsia="仿宋_GB2312" w:cs="仿宋_GB2312"/>
          <w:color w:val="000000"/>
          <w:spacing w:val="-10"/>
          <w:sz w:val="32"/>
          <w:szCs w:val="32"/>
          <w:highlight w:val="none"/>
        </w:rPr>
        <w:t>：</w:t>
      </w:r>
      <w:r>
        <w:rPr>
          <w:rFonts w:hint="eastAsia" w:ascii="仿宋_GB2312" w:hAnsi="仿宋_GB2312" w:eastAsia="仿宋_GB2312" w:cs="仿宋_GB2312"/>
          <w:color w:val="000000"/>
          <w:spacing w:val="-10"/>
          <w:sz w:val="32"/>
          <w:szCs w:val="32"/>
          <w:highlight w:val="none"/>
          <w:u w:val="single"/>
        </w:rPr>
        <w:t xml:space="preserve">                                        </w:t>
      </w:r>
    </w:p>
    <w:p>
      <w:pPr>
        <w:spacing w:line="560" w:lineRule="exact"/>
        <w:ind w:firstLine="1209" w:firstLineChars="403"/>
        <w:rPr>
          <w:rFonts w:ascii="仿宋_GB2312" w:hAnsi="仿宋_GB2312" w:eastAsia="仿宋_GB2312" w:cs="仿宋_GB2312"/>
          <w:color w:val="000000"/>
          <w:spacing w:val="-10"/>
          <w:sz w:val="32"/>
          <w:szCs w:val="32"/>
          <w:highlight w:val="none"/>
          <w:u w:val="single"/>
        </w:rPr>
      </w:pPr>
      <w:r>
        <w:rPr>
          <w:rFonts w:hint="eastAsia" w:ascii="仿宋_GB2312" w:hAnsi="仿宋_GB2312" w:eastAsia="仿宋_GB2312" w:cs="仿宋_GB2312"/>
          <w:color w:val="000000"/>
          <w:spacing w:val="-10"/>
          <w:sz w:val="32"/>
          <w:szCs w:val="32"/>
          <w:highlight w:val="none"/>
        </w:rPr>
        <w:t>项目单位：</w:t>
      </w:r>
      <w:r>
        <w:rPr>
          <w:rFonts w:hint="eastAsia" w:ascii="仿宋_GB2312" w:hAnsi="仿宋_GB2312" w:eastAsia="仿宋_GB2312" w:cs="仿宋_GB2312"/>
          <w:color w:val="000000"/>
          <w:spacing w:val="-10"/>
          <w:sz w:val="32"/>
          <w:szCs w:val="32"/>
          <w:highlight w:val="none"/>
          <w:u w:val="single"/>
        </w:rPr>
        <w:t xml:space="preserve">   </w:t>
      </w:r>
      <w:r>
        <w:rPr>
          <w:rFonts w:ascii="仿宋_GB2312" w:hAnsi="仿宋_GB2312" w:eastAsia="仿宋_GB2312" w:cs="仿宋_GB2312"/>
          <w:color w:val="000000"/>
          <w:spacing w:val="-10"/>
          <w:sz w:val="32"/>
          <w:szCs w:val="32"/>
          <w:highlight w:val="none"/>
          <w:u w:val="single"/>
        </w:rPr>
        <w:t xml:space="preserve">                         </w:t>
      </w:r>
      <w:r>
        <w:rPr>
          <w:rFonts w:hint="eastAsia" w:ascii="仿宋_GB2312" w:hAnsi="仿宋_GB2312" w:eastAsia="仿宋_GB2312" w:cs="仿宋_GB2312"/>
          <w:color w:val="000000"/>
          <w:spacing w:val="-10"/>
          <w:sz w:val="32"/>
          <w:szCs w:val="32"/>
          <w:highlight w:val="none"/>
          <w:u w:val="single"/>
        </w:rPr>
        <w:t xml:space="preserve">            </w:t>
      </w:r>
    </w:p>
    <w:p>
      <w:pPr>
        <w:spacing w:line="560" w:lineRule="exact"/>
        <w:ind w:firstLine="1209" w:firstLineChars="403"/>
        <w:rPr>
          <w:rFonts w:ascii="仿宋_GB2312" w:hAnsi="仿宋_GB2312" w:eastAsia="仿宋_GB2312" w:cs="仿宋_GB2312"/>
          <w:color w:val="000000"/>
          <w:spacing w:val="-10"/>
          <w:sz w:val="32"/>
          <w:szCs w:val="32"/>
          <w:highlight w:val="none"/>
          <w:u w:val="single"/>
        </w:rPr>
      </w:pPr>
      <w:r>
        <w:rPr>
          <w:rFonts w:hint="eastAsia" w:ascii="仿宋_GB2312" w:hAnsi="仿宋_GB2312" w:eastAsia="仿宋_GB2312" w:cs="仿宋_GB2312"/>
          <w:color w:val="000000"/>
          <w:spacing w:val="-10"/>
          <w:sz w:val="32"/>
          <w:szCs w:val="32"/>
          <w:highlight w:val="none"/>
        </w:rPr>
        <w:t>产业类别：</w:t>
      </w:r>
      <w:r>
        <w:rPr>
          <w:rFonts w:hint="eastAsia" w:ascii="仿宋_GB2312" w:hAnsi="仿宋_GB2312" w:eastAsia="仿宋_GB2312" w:cs="仿宋_GB2312"/>
          <w:color w:val="000000"/>
          <w:spacing w:val="-10"/>
          <w:sz w:val="32"/>
          <w:szCs w:val="32"/>
          <w:highlight w:val="none"/>
          <w:u w:val="single"/>
        </w:rPr>
        <w:t xml:space="preserve">   </w:t>
      </w:r>
      <w:r>
        <w:rPr>
          <w:rFonts w:ascii="仿宋_GB2312" w:hAnsi="仿宋_GB2312" w:eastAsia="仿宋_GB2312" w:cs="仿宋_GB2312"/>
          <w:color w:val="000000"/>
          <w:spacing w:val="-10"/>
          <w:sz w:val="32"/>
          <w:szCs w:val="32"/>
          <w:highlight w:val="none"/>
          <w:u w:val="single"/>
        </w:rPr>
        <w:t xml:space="preserve">                    </w:t>
      </w:r>
      <w:r>
        <w:rPr>
          <w:rFonts w:hint="eastAsia" w:ascii="仿宋_GB2312" w:hAnsi="仿宋_GB2312" w:eastAsia="仿宋_GB2312" w:cs="仿宋_GB2312"/>
          <w:color w:val="000000"/>
          <w:spacing w:val="-10"/>
          <w:sz w:val="32"/>
          <w:szCs w:val="32"/>
          <w:highlight w:val="none"/>
          <w:u w:val="single"/>
        </w:rPr>
        <w:t xml:space="preserve">                 </w:t>
      </w:r>
    </w:p>
    <w:p>
      <w:pPr>
        <w:ind w:firstLine="1200" w:firstLineChars="400"/>
        <w:jc w:val="left"/>
        <w:rPr>
          <w:rFonts w:ascii="仿宋_GB2312" w:hAnsi="仿宋_GB2312" w:eastAsia="仿宋_GB2312" w:cs="仿宋_GB2312"/>
          <w:color w:val="000000"/>
          <w:spacing w:val="-10"/>
          <w:sz w:val="32"/>
          <w:szCs w:val="32"/>
          <w:highlight w:val="none"/>
          <w:u w:val="single"/>
        </w:rPr>
      </w:pPr>
      <w:r>
        <w:rPr>
          <w:rFonts w:hint="eastAsia" w:ascii="仿宋_GB2312" w:hAnsi="仿宋_GB2312" w:eastAsia="仿宋_GB2312" w:cs="仿宋_GB2312"/>
          <w:color w:val="000000"/>
          <w:spacing w:val="-10"/>
          <w:sz w:val="32"/>
          <w:szCs w:val="32"/>
          <w:highlight w:val="none"/>
        </w:rPr>
        <w:t>合同编号：</w:t>
      </w:r>
      <w:r>
        <w:rPr>
          <w:rFonts w:hint="eastAsia" w:ascii="仿宋_GB2312" w:hAnsi="仿宋_GB2312" w:eastAsia="仿宋_GB2312" w:cs="仿宋_GB2312"/>
          <w:color w:val="000000"/>
          <w:spacing w:val="-10"/>
          <w:sz w:val="32"/>
          <w:szCs w:val="32"/>
          <w:highlight w:val="none"/>
          <w:u w:val="single"/>
        </w:rPr>
        <w:t>深宝产协</w:t>
      </w:r>
      <w:r>
        <w:rPr>
          <w:rFonts w:hint="eastAsia" w:ascii="仿宋_GB2312" w:hAnsi="仿宋_GB2312" w:eastAsia="仿宋_GB2312" w:cs="仿宋_GB2312"/>
          <w:spacing w:val="-10"/>
          <w:sz w:val="32"/>
          <w:szCs w:val="32"/>
          <w:highlight w:val="none"/>
          <w:u w:val="single"/>
        </w:rPr>
        <w:t>（人力资源服务领域）</w:t>
      </w:r>
      <w:r>
        <w:rPr>
          <w:rFonts w:hint="eastAsia" w:ascii="仿宋_GB2312" w:hAnsi="仿宋_GB2312" w:eastAsia="仿宋_GB2312" w:cs="仿宋_GB2312"/>
          <w:color w:val="000000"/>
          <w:spacing w:val="-10"/>
          <w:sz w:val="32"/>
          <w:szCs w:val="32"/>
          <w:highlight w:val="none"/>
          <w:u w:val="single"/>
        </w:rPr>
        <w:t xml:space="preserve">【】第【】号 </w:t>
      </w:r>
      <w:r>
        <w:rPr>
          <w:rFonts w:hint="eastAsia" w:ascii="仿宋_GB2312" w:hAnsi="仿宋_GB2312" w:eastAsia="仿宋_GB2312" w:cs="仿宋_GB2312"/>
          <w:color w:val="000000"/>
          <w:spacing w:val="-10"/>
          <w:sz w:val="32"/>
          <w:szCs w:val="32"/>
          <w:highlight w:val="none"/>
        </w:rPr>
        <w:t xml:space="preserve">      </w:t>
      </w:r>
      <w:r>
        <w:rPr>
          <w:rFonts w:hint="eastAsia" w:ascii="仿宋_GB2312" w:hAnsi="仿宋_GB2312" w:eastAsia="仿宋_GB2312" w:cs="仿宋_GB2312"/>
          <w:color w:val="000000"/>
          <w:spacing w:val="-10"/>
          <w:sz w:val="32"/>
          <w:szCs w:val="32"/>
          <w:highlight w:val="none"/>
          <w:u w:val="single"/>
        </w:rPr>
        <w:t xml:space="preserve">              </w:t>
      </w:r>
      <w:r>
        <w:rPr>
          <w:rFonts w:hint="eastAsia" w:ascii="仿宋_GB2312" w:hAnsi="仿宋_GB2312" w:eastAsia="仿宋_GB2312" w:cs="仿宋_GB2312"/>
          <w:color w:val="000000"/>
          <w:spacing w:val="-10"/>
          <w:sz w:val="32"/>
          <w:szCs w:val="32"/>
          <w:highlight w:val="none"/>
        </w:rPr>
        <w:t xml:space="preserve">    </w:t>
      </w:r>
    </w:p>
    <w:p>
      <w:pPr>
        <w:spacing w:line="560" w:lineRule="exact"/>
        <w:ind w:firstLine="1209" w:firstLineChars="403"/>
        <w:rPr>
          <w:rFonts w:ascii="仿宋_GB2312" w:hAnsi="仿宋_GB2312" w:eastAsia="仿宋_GB2312" w:cs="仿宋_GB2312"/>
          <w:color w:val="000000"/>
          <w:spacing w:val="-10"/>
          <w:sz w:val="32"/>
          <w:szCs w:val="32"/>
          <w:highlight w:val="none"/>
        </w:rPr>
      </w:pPr>
      <w:r>
        <w:rPr>
          <w:rFonts w:hint="eastAsia" w:ascii="仿宋_GB2312" w:hAnsi="仿宋_GB2312" w:eastAsia="仿宋_GB2312" w:cs="仿宋_GB2312"/>
          <w:color w:val="000000"/>
          <w:spacing w:val="-10"/>
          <w:sz w:val="32"/>
          <w:szCs w:val="32"/>
          <w:highlight w:val="none"/>
        </w:rPr>
        <w:t>签订时间：</w:t>
      </w:r>
      <w:r>
        <w:rPr>
          <w:rFonts w:hint="eastAsia" w:ascii="仿宋_GB2312" w:hAnsi="仿宋_GB2312" w:eastAsia="仿宋_GB2312" w:cs="仿宋_GB2312"/>
          <w:color w:val="000000"/>
          <w:spacing w:val="-10"/>
          <w:sz w:val="32"/>
          <w:szCs w:val="32"/>
          <w:highlight w:val="none"/>
          <w:u w:val="single"/>
        </w:rPr>
        <w:t xml:space="preserve">  </w:t>
      </w:r>
      <w:r>
        <w:rPr>
          <w:rFonts w:ascii="仿宋_GB2312" w:hAnsi="仿宋_GB2312" w:eastAsia="仿宋_GB2312" w:cs="仿宋_GB2312"/>
          <w:color w:val="000000"/>
          <w:spacing w:val="-10"/>
          <w:sz w:val="32"/>
          <w:szCs w:val="32"/>
          <w:highlight w:val="none"/>
          <w:u w:val="single"/>
        </w:rPr>
        <w:t xml:space="preserve">     </w:t>
      </w:r>
      <w:r>
        <w:rPr>
          <w:rFonts w:hint="eastAsia" w:ascii="仿宋_GB2312" w:hAnsi="仿宋_GB2312" w:eastAsia="仿宋_GB2312" w:cs="仿宋_GB2312"/>
          <w:color w:val="000000"/>
          <w:spacing w:val="-10"/>
          <w:sz w:val="32"/>
          <w:szCs w:val="32"/>
          <w:highlight w:val="none"/>
          <w:u w:val="single"/>
        </w:rPr>
        <w:t xml:space="preserve">年   月   日         </w:t>
      </w:r>
      <w:r>
        <w:rPr>
          <w:rFonts w:ascii="仿宋_GB2312" w:hAnsi="仿宋_GB2312" w:eastAsia="仿宋_GB2312" w:cs="仿宋_GB2312"/>
          <w:color w:val="000000"/>
          <w:spacing w:val="-10"/>
          <w:sz w:val="32"/>
          <w:szCs w:val="32"/>
          <w:highlight w:val="none"/>
          <w:u w:val="single"/>
        </w:rPr>
        <w:t xml:space="preserve">    </w:t>
      </w:r>
      <w:r>
        <w:rPr>
          <w:rFonts w:hint="eastAsia" w:ascii="仿宋_GB2312" w:hAnsi="仿宋_GB2312" w:eastAsia="仿宋_GB2312" w:cs="仿宋_GB2312"/>
          <w:color w:val="000000"/>
          <w:spacing w:val="-10"/>
          <w:sz w:val="32"/>
          <w:szCs w:val="32"/>
          <w:highlight w:val="none"/>
          <w:u w:val="single"/>
        </w:rPr>
        <w:t xml:space="preserve">  </w:t>
      </w:r>
      <w:r>
        <w:rPr>
          <w:rFonts w:ascii="仿宋_GB2312" w:hAnsi="仿宋_GB2312" w:eastAsia="仿宋_GB2312" w:cs="仿宋_GB2312"/>
          <w:color w:val="000000"/>
          <w:spacing w:val="-10"/>
          <w:sz w:val="32"/>
          <w:szCs w:val="32"/>
          <w:highlight w:val="none"/>
          <w:u w:val="single"/>
        </w:rPr>
        <w:t xml:space="preserve">    </w:t>
      </w:r>
      <w:r>
        <w:rPr>
          <w:rFonts w:hint="eastAsia" w:ascii="仿宋_GB2312" w:hAnsi="仿宋_GB2312" w:eastAsia="仿宋_GB2312" w:cs="仿宋_GB2312"/>
          <w:color w:val="000000"/>
          <w:spacing w:val="-10"/>
          <w:sz w:val="32"/>
          <w:szCs w:val="32"/>
          <w:highlight w:val="none"/>
          <w:u w:val="single"/>
        </w:rPr>
        <w:t xml:space="preserve">     </w:t>
      </w:r>
    </w:p>
    <w:p>
      <w:pPr>
        <w:adjustRightInd w:val="0"/>
        <w:ind w:firstLine="1200" w:firstLineChars="400"/>
        <w:jc w:val="left"/>
        <w:rPr>
          <w:rFonts w:ascii="仿宋_GB2312" w:hAnsi="仿宋_GB2312" w:eastAsia="仿宋_GB2312" w:cs="仿宋_GB2312"/>
          <w:color w:val="000000"/>
          <w:spacing w:val="-10"/>
          <w:sz w:val="32"/>
          <w:szCs w:val="32"/>
          <w:highlight w:val="none"/>
          <w:u w:val="single"/>
        </w:rPr>
      </w:pPr>
      <w:r>
        <w:rPr>
          <w:rFonts w:hint="eastAsia" w:ascii="仿宋_GB2312" w:hAnsi="仿宋_GB2312" w:eastAsia="仿宋_GB2312" w:cs="仿宋_GB2312"/>
          <w:color w:val="000000"/>
          <w:spacing w:val="-10"/>
          <w:sz w:val="32"/>
          <w:szCs w:val="32"/>
          <w:highlight w:val="none"/>
        </w:rPr>
        <w:t>签订地点：</w:t>
      </w:r>
      <w:r>
        <w:rPr>
          <w:rFonts w:hint="eastAsia" w:ascii="仿宋_GB2312" w:hAnsi="仿宋_GB2312" w:eastAsia="仿宋_GB2312" w:cs="仿宋_GB2312"/>
          <w:color w:val="000000"/>
          <w:spacing w:val="-10"/>
          <w:sz w:val="32"/>
          <w:szCs w:val="32"/>
          <w:highlight w:val="none"/>
          <w:u w:val="single"/>
        </w:rPr>
        <w:t xml:space="preserve">   </w:t>
      </w:r>
      <w:r>
        <w:rPr>
          <w:rFonts w:ascii="仿宋_GB2312" w:hAnsi="仿宋_GB2312" w:eastAsia="仿宋_GB2312" w:cs="仿宋_GB2312"/>
          <w:color w:val="000000"/>
          <w:spacing w:val="-10"/>
          <w:sz w:val="32"/>
          <w:szCs w:val="32"/>
          <w:highlight w:val="none"/>
          <w:u w:val="single"/>
        </w:rPr>
        <w:t xml:space="preserve">        </w:t>
      </w:r>
      <w:r>
        <w:rPr>
          <w:rFonts w:hint="eastAsia" w:ascii="仿宋_GB2312" w:hAnsi="仿宋_GB2312" w:eastAsia="仿宋_GB2312" w:cs="仿宋_GB2312"/>
          <w:color w:val="000000"/>
          <w:spacing w:val="-10"/>
          <w:sz w:val="32"/>
          <w:szCs w:val="32"/>
          <w:highlight w:val="none"/>
          <w:u w:val="single"/>
        </w:rPr>
        <w:t xml:space="preserve">      </w:t>
      </w:r>
      <w:r>
        <w:rPr>
          <w:rFonts w:ascii="仿宋_GB2312" w:hAnsi="仿宋_GB2312" w:eastAsia="仿宋_GB2312" w:cs="仿宋_GB2312"/>
          <w:color w:val="000000"/>
          <w:spacing w:val="-10"/>
          <w:sz w:val="32"/>
          <w:szCs w:val="32"/>
          <w:highlight w:val="none"/>
          <w:u w:val="single"/>
        </w:rPr>
        <w:t xml:space="preserve">                       </w:t>
      </w:r>
      <w:r>
        <w:rPr>
          <w:rFonts w:hint="eastAsia" w:ascii="仿宋_GB2312" w:hAnsi="仿宋_GB2312" w:eastAsia="仿宋_GB2312" w:cs="仿宋_GB2312"/>
          <w:color w:val="000000"/>
          <w:spacing w:val="-10"/>
          <w:sz w:val="32"/>
          <w:szCs w:val="32"/>
          <w:highlight w:val="none"/>
          <w:u w:val="single"/>
        </w:rPr>
        <w:t xml:space="preserve">  </w:t>
      </w:r>
      <w:r>
        <w:rPr>
          <w:rFonts w:ascii="仿宋_GB2312" w:hAnsi="仿宋_GB2312" w:eastAsia="仿宋_GB2312" w:cs="仿宋_GB2312"/>
          <w:color w:val="000000"/>
          <w:spacing w:val="-10"/>
          <w:sz w:val="32"/>
          <w:szCs w:val="32"/>
          <w:highlight w:val="none"/>
          <w:u w:val="single"/>
        </w:rPr>
        <w:t xml:space="preserve"> </w:t>
      </w:r>
      <w:r>
        <w:rPr>
          <w:rFonts w:hint="eastAsia" w:ascii="仿宋_GB2312" w:hAnsi="仿宋_GB2312" w:eastAsia="仿宋_GB2312" w:cs="仿宋_GB2312"/>
          <w:color w:val="000000"/>
          <w:spacing w:val="-10"/>
          <w:sz w:val="32"/>
          <w:szCs w:val="32"/>
          <w:highlight w:val="none"/>
          <w:u w:val="single"/>
        </w:rPr>
        <w:t xml:space="preserve"> </w:t>
      </w:r>
    </w:p>
    <w:p>
      <w:pPr>
        <w:adjustRightInd w:val="0"/>
        <w:ind w:firstLine="1200" w:firstLineChars="400"/>
        <w:jc w:val="left"/>
        <w:rPr>
          <w:rFonts w:ascii="仿宋_GB2312" w:hAnsi="仿宋_GB2312" w:eastAsia="仿宋_GB2312" w:cs="仿宋_GB2312"/>
          <w:color w:val="000000"/>
          <w:spacing w:val="-10"/>
          <w:sz w:val="32"/>
          <w:szCs w:val="32"/>
          <w:highlight w:val="none"/>
          <w:u w:val="single"/>
        </w:rPr>
      </w:pPr>
    </w:p>
    <w:p>
      <w:pPr>
        <w:adjustRightInd w:val="0"/>
        <w:ind w:firstLine="1200" w:firstLineChars="400"/>
        <w:jc w:val="left"/>
        <w:rPr>
          <w:rFonts w:ascii="仿宋_GB2312" w:hAnsi="仿宋_GB2312" w:eastAsia="仿宋_GB2312" w:cs="仿宋_GB2312"/>
          <w:color w:val="000000"/>
          <w:spacing w:val="-10"/>
          <w:sz w:val="32"/>
          <w:szCs w:val="32"/>
          <w:highlight w:val="none"/>
          <w:u w:val="single"/>
        </w:rPr>
      </w:pPr>
    </w:p>
    <w:p>
      <w:pPr>
        <w:adjustRightInd w:val="0"/>
        <w:ind w:firstLine="1200" w:firstLineChars="400"/>
        <w:jc w:val="left"/>
        <w:rPr>
          <w:rFonts w:ascii="仿宋_GB2312" w:hAnsi="仿宋_GB2312" w:eastAsia="仿宋_GB2312" w:cs="仿宋_GB2312"/>
          <w:color w:val="000000"/>
          <w:spacing w:val="-10"/>
          <w:sz w:val="32"/>
          <w:szCs w:val="32"/>
          <w:highlight w:val="none"/>
          <w:u w:val="single"/>
        </w:rPr>
      </w:pPr>
    </w:p>
    <w:p>
      <w:pPr>
        <w:adjustRightInd w:val="0"/>
        <w:jc w:val="center"/>
        <w:rPr>
          <w:rFonts w:ascii="仿宋_GB2312" w:hAnsi="仿宋_GB2312" w:eastAsia="仿宋_GB2312" w:cs="仿宋_GB2312"/>
          <w:spacing w:val="-10"/>
          <w:sz w:val="32"/>
          <w:szCs w:val="32"/>
          <w:highlight w:val="none"/>
          <w:u w:val="single"/>
        </w:rPr>
      </w:pPr>
      <w:r>
        <w:rPr>
          <w:rFonts w:hint="eastAsia" w:ascii="仿宋_GB2312" w:hAnsi="仿宋_GB2312" w:eastAsia="仿宋_GB2312" w:cs="仿宋_GB2312"/>
          <w:spacing w:val="-10"/>
          <w:sz w:val="32"/>
          <w:szCs w:val="32"/>
          <w:highlight w:val="none"/>
          <w:u w:val="single"/>
        </w:rPr>
        <w:t xml:space="preserve">宝安区人力资源局  </w:t>
      </w:r>
      <w:r>
        <w:rPr>
          <w:rFonts w:ascii="仿宋_GB2312" w:hAnsi="仿宋_GB2312" w:eastAsia="仿宋_GB2312" w:cs="仿宋_GB2312"/>
          <w:spacing w:val="-10"/>
          <w:sz w:val="32"/>
          <w:szCs w:val="32"/>
          <w:highlight w:val="none"/>
          <w:u w:val="single"/>
        </w:rPr>
        <w:t>制</w:t>
      </w:r>
    </w:p>
    <w:p>
      <w:pPr>
        <w:widowControl/>
        <w:jc w:val="left"/>
        <w:rPr>
          <w:rFonts w:ascii="仿宋_GB2312" w:hAnsi="仿宋_GB2312" w:eastAsia="仿宋_GB2312" w:cs="仿宋_GB2312"/>
          <w:color w:val="000000"/>
          <w:spacing w:val="-10"/>
          <w:sz w:val="32"/>
          <w:szCs w:val="32"/>
          <w:highlight w:val="none"/>
        </w:rPr>
      </w:pPr>
      <w:r>
        <w:rPr>
          <w:rFonts w:ascii="仿宋_GB2312" w:hAnsi="仿宋_GB2312" w:eastAsia="仿宋_GB2312" w:cs="仿宋_GB2312"/>
          <w:color w:val="000000"/>
          <w:spacing w:val="-10"/>
          <w:sz w:val="32"/>
          <w:szCs w:val="32"/>
          <w:highlight w:val="none"/>
        </w:rPr>
        <w:br w:type="page"/>
      </w:r>
    </w:p>
    <w:p>
      <w:pPr>
        <w:spacing w:line="560" w:lineRule="exact"/>
        <w:rPr>
          <w:rFonts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甲方：</w:t>
      </w:r>
    </w:p>
    <w:p>
      <w:pPr>
        <w:spacing w:line="560" w:lineRule="exac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w:t>
      </w:r>
    </w:p>
    <w:p>
      <w:pPr>
        <w:spacing w:line="560" w:lineRule="exact"/>
        <w:rPr>
          <w:rFonts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地址：</w:t>
      </w:r>
    </w:p>
    <w:p>
      <w:pPr>
        <w:spacing w:line="560" w:lineRule="exact"/>
        <w:rPr>
          <w:rFonts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 xml:space="preserve">联系部门：   </w:t>
      </w:r>
    </w:p>
    <w:p>
      <w:pPr>
        <w:spacing w:line="560" w:lineRule="exact"/>
        <w:rPr>
          <w:rFonts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联系部门负责人</w:t>
      </w:r>
      <w:r>
        <w:rPr>
          <w:rFonts w:ascii="仿宋_GB2312" w:hAnsi="仿宋_GB2312" w:eastAsia="仿宋_GB2312" w:cs="仿宋_GB2312"/>
          <w:color w:val="000000"/>
          <w:sz w:val="32"/>
          <w:szCs w:val="32"/>
          <w:highlight w:val="none"/>
        </w:rPr>
        <w:t>：</w:t>
      </w:r>
    </w:p>
    <w:p>
      <w:pPr>
        <w:spacing w:line="560" w:lineRule="exac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联系部门</w:t>
      </w:r>
      <w:r>
        <w:rPr>
          <w:rFonts w:ascii="仿宋_GB2312" w:hAnsi="仿宋_GB2312" w:eastAsia="仿宋_GB2312" w:cs="仿宋_GB2312"/>
          <w:color w:val="000000"/>
          <w:sz w:val="32"/>
          <w:szCs w:val="32"/>
          <w:highlight w:val="none"/>
        </w:rPr>
        <w:t>地址</w:t>
      </w:r>
      <w:r>
        <w:rPr>
          <w:rFonts w:hint="eastAsia" w:ascii="仿宋_GB2312" w:hAnsi="仿宋_GB2312" w:eastAsia="仿宋_GB2312" w:cs="仿宋_GB2312"/>
          <w:color w:val="000000"/>
          <w:sz w:val="32"/>
          <w:szCs w:val="32"/>
          <w:highlight w:val="none"/>
        </w:rPr>
        <w:t>：</w:t>
      </w:r>
    </w:p>
    <w:p>
      <w:pPr>
        <w:spacing w:line="560" w:lineRule="exact"/>
        <w:rPr>
          <w:rFonts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联系电话：</w:t>
      </w:r>
    </w:p>
    <w:p>
      <w:pPr>
        <w:spacing w:line="560" w:lineRule="exact"/>
        <w:ind w:firstLine="640" w:firstLineChars="200"/>
        <w:rPr>
          <w:rFonts w:ascii="仿宋_GB2312" w:hAnsi="仿宋_GB2312" w:eastAsia="仿宋_GB2312" w:cs="仿宋_GB2312"/>
          <w:color w:val="000000"/>
          <w:sz w:val="32"/>
          <w:szCs w:val="32"/>
          <w:highlight w:val="none"/>
        </w:rPr>
      </w:pPr>
    </w:p>
    <w:p>
      <w:pPr>
        <w:spacing w:line="560" w:lineRule="exact"/>
        <w:rPr>
          <w:rFonts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乙方：</w:t>
      </w:r>
    </w:p>
    <w:p>
      <w:pPr>
        <w:spacing w:line="560" w:lineRule="exac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法定代表人：</w:t>
      </w:r>
    </w:p>
    <w:p>
      <w:pPr>
        <w:spacing w:line="560" w:lineRule="exact"/>
        <w:rPr>
          <w:rFonts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地址：</w:t>
      </w:r>
    </w:p>
    <w:p>
      <w:pPr>
        <w:spacing w:line="560" w:lineRule="exact"/>
        <w:rPr>
          <w:rFonts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 xml:space="preserve">联系部门：   </w:t>
      </w:r>
    </w:p>
    <w:p>
      <w:pPr>
        <w:spacing w:line="560" w:lineRule="exact"/>
        <w:rPr>
          <w:rFonts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联系部门负责人</w:t>
      </w:r>
      <w:r>
        <w:rPr>
          <w:rFonts w:ascii="仿宋_GB2312" w:hAnsi="仿宋_GB2312" w:eastAsia="仿宋_GB2312" w:cs="仿宋_GB2312"/>
          <w:color w:val="000000"/>
          <w:sz w:val="32"/>
          <w:szCs w:val="32"/>
          <w:highlight w:val="none"/>
        </w:rPr>
        <w:t>：</w:t>
      </w:r>
    </w:p>
    <w:p>
      <w:pPr>
        <w:spacing w:line="560" w:lineRule="exac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联系部门</w:t>
      </w:r>
      <w:r>
        <w:rPr>
          <w:rFonts w:ascii="仿宋_GB2312" w:hAnsi="仿宋_GB2312" w:eastAsia="仿宋_GB2312" w:cs="仿宋_GB2312"/>
          <w:color w:val="000000"/>
          <w:sz w:val="32"/>
          <w:szCs w:val="32"/>
          <w:highlight w:val="none"/>
        </w:rPr>
        <w:t>地址</w:t>
      </w:r>
      <w:r>
        <w:rPr>
          <w:rFonts w:hint="eastAsia" w:ascii="仿宋_GB2312" w:hAnsi="仿宋_GB2312" w:eastAsia="仿宋_GB2312" w:cs="仿宋_GB2312"/>
          <w:color w:val="000000"/>
          <w:sz w:val="32"/>
          <w:szCs w:val="32"/>
          <w:highlight w:val="none"/>
        </w:rPr>
        <w:t>：</w:t>
      </w:r>
    </w:p>
    <w:p>
      <w:pPr>
        <w:spacing w:line="560" w:lineRule="exact"/>
        <w:rPr>
          <w:rFonts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联系电话：</w:t>
      </w:r>
    </w:p>
    <w:p>
      <w:pPr>
        <w:spacing w:line="440" w:lineRule="exact"/>
        <w:ind w:firstLine="640" w:firstLineChars="200"/>
        <w:rPr>
          <w:rFonts w:ascii="仿宋_GB2312" w:hAnsi="仿宋_GB2312" w:eastAsia="仿宋_GB2312" w:cs="仿宋_GB2312"/>
          <w:color w:val="000000"/>
          <w:sz w:val="32"/>
          <w:szCs w:val="32"/>
          <w:highlight w:val="none"/>
        </w:rPr>
      </w:pPr>
    </w:p>
    <w:p>
      <w:pPr>
        <w:widowControl/>
        <w:jc w:val="left"/>
        <w:rPr>
          <w:rFonts w:ascii="仿宋_GB2312" w:hAnsi="仿宋_GB2312" w:eastAsia="仿宋_GB2312" w:cs="仿宋_GB2312"/>
          <w:bCs/>
          <w:color w:val="000000"/>
          <w:sz w:val="32"/>
          <w:szCs w:val="32"/>
          <w:highlight w:val="none"/>
          <w:lang w:eastAsia="zh-TW"/>
        </w:rPr>
      </w:pPr>
      <w:r>
        <w:rPr>
          <w:rFonts w:ascii="仿宋_GB2312" w:hAnsi="仿宋_GB2312" w:eastAsia="仿宋_GB2312" w:cs="仿宋_GB2312"/>
          <w:bCs/>
          <w:color w:val="000000"/>
          <w:szCs w:val="32"/>
          <w:highlight w:val="none"/>
          <w:lang w:eastAsia="zh-TW"/>
        </w:rPr>
        <w:br w:type="page"/>
      </w:r>
    </w:p>
    <w:p>
      <w:pPr>
        <w:pStyle w:val="6"/>
        <w:spacing w:line="560" w:lineRule="exact"/>
        <w:ind w:firstLine="640" w:firstLineChars="200"/>
        <w:rPr>
          <w:rFonts w:ascii="仿宋_GB2312" w:hAnsi="仿宋_GB2312" w:eastAsia="仿宋_GB2312" w:cs="仿宋_GB2312"/>
          <w:bCs/>
          <w:color w:val="000000"/>
          <w:szCs w:val="32"/>
          <w:highlight w:val="none"/>
          <w:lang w:eastAsia="zh-TW"/>
        </w:rPr>
      </w:pPr>
      <w:r>
        <w:rPr>
          <w:rFonts w:hint="eastAsia" w:ascii="仿宋_GB2312" w:hAnsi="仿宋_GB2312" w:eastAsia="仿宋_GB2312" w:cs="仿宋_GB2312"/>
          <w:bCs/>
          <w:color w:val="000000"/>
          <w:szCs w:val="32"/>
          <w:highlight w:val="none"/>
          <w:lang w:eastAsia="zh-TW"/>
        </w:rPr>
        <w:t>为</w:t>
      </w:r>
      <w:r>
        <w:rPr>
          <w:rFonts w:hint="eastAsia" w:ascii="仿宋_GB2312" w:hAnsi="仿宋_GB2312" w:eastAsia="仿宋_GB2312" w:cs="仿宋_GB2312"/>
          <w:bCs/>
          <w:color w:val="000000"/>
          <w:szCs w:val="32"/>
          <w:highlight w:val="none"/>
        </w:rPr>
        <w:t>切实</w:t>
      </w:r>
      <w:r>
        <w:rPr>
          <w:rFonts w:hint="eastAsia" w:ascii="仿宋_GB2312" w:hAnsi="仿宋_GB2312" w:eastAsia="仿宋_GB2312" w:cs="仿宋_GB2312"/>
          <w:bCs/>
          <w:color w:val="000000"/>
          <w:szCs w:val="32"/>
          <w:highlight w:val="none"/>
          <w:lang w:eastAsia="zh-TW"/>
        </w:rPr>
        <w:t>保障宝安区产业</w:t>
      </w:r>
      <w:r>
        <w:rPr>
          <w:rFonts w:hint="eastAsia" w:ascii="仿宋_GB2312" w:hAnsi="仿宋_GB2312" w:eastAsia="仿宋_GB2312" w:cs="仿宋_GB2312"/>
          <w:bCs/>
          <w:color w:val="000000"/>
          <w:szCs w:val="32"/>
          <w:highlight w:val="none"/>
        </w:rPr>
        <w:t>资金使用</w:t>
      </w:r>
      <w:r>
        <w:rPr>
          <w:rFonts w:ascii="仿宋_GB2312" w:hAnsi="仿宋_GB2312" w:eastAsia="仿宋_GB2312" w:cs="仿宋_GB2312"/>
          <w:bCs/>
          <w:color w:val="000000"/>
          <w:szCs w:val="32"/>
          <w:highlight w:val="none"/>
        </w:rPr>
        <w:t>效果</w:t>
      </w:r>
      <w:r>
        <w:rPr>
          <w:rFonts w:hint="eastAsia" w:ascii="仿宋_GB2312" w:hAnsi="仿宋_GB2312" w:eastAsia="仿宋_GB2312" w:cs="仿宋_GB2312"/>
          <w:bCs/>
          <w:color w:val="000000"/>
          <w:szCs w:val="32"/>
          <w:highlight w:val="none"/>
          <w:lang w:eastAsia="zh-TW"/>
        </w:rPr>
        <w:t>，切实履行《深圳市产业结构调整优化和产业导向目录》，根据《</w:t>
      </w:r>
      <w:r>
        <w:rPr>
          <w:rFonts w:hint="eastAsia" w:ascii="仿宋_GB2312" w:hAnsi="仿宋_GB2312" w:eastAsia="仿宋_GB2312" w:cs="仿宋_GB2312"/>
          <w:bCs/>
          <w:color w:val="000000"/>
          <w:szCs w:val="32"/>
          <w:highlight w:val="none"/>
        </w:rPr>
        <w:t>宝安区关于</w:t>
      </w:r>
      <w:r>
        <w:rPr>
          <w:rFonts w:ascii="仿宋_GB2312" w:hAnsi="仿宋_GB2312" w:eastAsia="仿宋_GB2312" w:cs="仿宋_GB2312"/>
          <w:bCs/>
          <w:color w:val="000000"/>
          <w:szCs w:val="32"/>
          <w:highlight w:val="none"/>
        </w:rPr>
        <w:t>促进专业服务业发展的若干措施</w:t>
      </w:r>
      <w:r>
        <w:rPr>
          <w:rFonts w:hint="eastAsia" w:ascii="仿宋_GB2312" w:hAnsi="仿宋_GB2312" w:eastAsia="仿宋_GB2312" w:cs="仿宋_GB2312"/>
          <w:bCs/>
          <w:color w:val="000000"/>
          <w:szCs w:val="32"/>
          <w:highlight w:val="none"/>
          <w:lang w:eastAsia="zh-TW"/>
        </w:rPr>
        <w:t>》（深</w:t>
      </w:r>
      <w:r>
        <w:rPr>
          <w:rFonts w:hint="eastAsia" w:ascii="仿宋_GB2312" w:hAnsi="仿宋_GB2312" w:eastAsia="仿宋_GB2312" w:cs="仿宋_GB2312"/>
          <w:bCs/>
          <w:color w:val="000000"/>
          <w:szCs w:val="32"/>
          <w:highlight w:val="none"/>
        </w:rPr>
        <w:t>宝</w:t>
      </w:r>
      <w:r>
        <w:rPr>
          <w:rFonts w:ascii="仿宋_GB2312" w:hAnsi="仿宋_GB2312" w:eastAsia="仿宋_GB2312" w:cs="仿宋_GB2312"/>
          <w:bCs/>
          <w:color w:val="000000"/>
          <w:szCs w:val="32"/>
          <w:highlight w:val="none"/>
        </w:rPr>
        <w:t>规</w:t>
      </w:r>
      <w:r>
        <w:rPr>
          <w:rFonts w:hint="eastAsia" w:ascii="仿宋_GB2312" w:hAnsi="仿宋_GB2312" w:eastAsia="仿宋_GB2312" w:cs="仿宋_GB2312"/>
          <w:bCs/>
          <w:color w:val="000000"/>
          <w:szCs w:val="32"/>
          <w:highlight w:val="none"/>
          <w:lang w:eastAsia="zh-TW"/>
        </w:rPr>
        <w:t>〔20</w:t>
      </w:r>
      <w:r>
        <w:rPr>
          <w:rFonts w:ascii="仿宋_GB2312" w:hAnsi="仿宋_GB2312" w:eastAsia="仿宋_GB2312" w:cs="仿宋_GB2312"/>
          <w:bCs/>
          <w:color w:val="000000"/>
          <w:szCs w:val="32"/>
          <w:highlight w:val="none"/>
          <w:lang w:eastAsia="zh-TW"/>
        </w:rPr>
        <w:t>20</w:t>
      </w:r>
      <w:r>
        <w:rPr>
          <w:rFonts w:hint="eastAsia" w:ascii="仿宋_GB2312" w:hAnsi="仿宋_GB2312" w:eastAsia="仿宋_GB2312" w:cs="仿宋_GB2312"/>
          <w:bCs/>
          <w:color w:val="000000"/>
          <w:szCs w:val="32"/>
          <w:highlight w:val="none"/>
          <w:lang w:eastAsia="zh-TW"/>
        </w:rPr>
        <w:t>〕</w:t>
      </w:r>
      <w:r>
        <w:rPr>
          <w:rFonts w:hint="eastAsia" w:ascii="仿宋_GB2312" w:hAnsi="仿宋_GB2312" w:eastAsia="仿宋_GB2312" w:cs="仿宋_GB2312"/>
          <w:bCs/>
          <w:color w:val="000000"/>
          <w:szCs w:val="32"/>
          <w:highlight w:val="none"/>
        </w:rPr>
        <w:t>4号</w:t>
      </w:r>
      <w:r>
        <w:rPr>
          <w:rFonts w:hint="eastAsia" w:ascii="仿宋_GB2312" w:hAnsi="仿宋_GB2312" w:eastAsia="仿宋_GB2312" w:cs="仿宋_GB2312"/>
          <w:bCs/>
          <w:color w:val="000000"/>
          <w:szCs w:val="32"/>
          <w:highlight w:val="none"/>
          <w:lang w:eastAsia="zh-TW"/>
        </w:rPr>
        <w:t>）的有关规定，甲方作为宝安区</w:t>
      </w:r>
      <w:r>
        <w:rPr>
          <w:rFonts w:hint="eastAsia" w:ascii="仿宋_GB2312" w:hAnsi="仿宋_GB2312" w:eastAsia="仿宋_GB2312" w:cs="仿宋_GB2312"/>
          <w:bCs/>
          <w:szCs w:val="32"/>
          <w:highlight w:val="none"/>
        </w:rPr>
        <w:t>（</w:t>
      </w:r>
      <w:r>
        <w:rPr>
          <w:rFonts w:hint="eastAsia" w:ascii="仿宋_GB2312" w:hAnsi="仿宋_GB2312" w:eastAsia="仿宋_GB2312" w:cs="仿宋_GB2312"/>
          <w:spacing w:val="-10"/>
          <w:szCs w:val="32"/>
          <w:highlight w:val="none"/>
          <w:u w:val="single"/>
        </w:rPr>
        <w:t>人力资源服务领域</w:t>
      </w:r>
      <w:r>
        <w:rPr>
          <w:rFonts w:hint="eastAsia" w:ascii="仿宋_GB2312" w:hAnsi="仿宋_GB2312" w:eastAsia="仿宋_GB2312" w:cs="仿宋_GB2312"/>
          <w:bCs/>
          <w:color w:val="000000"/>
          <w:szCs w:val="32"/>
          <w:highlight w:val="none"/>
        </w:rPr>
        <w:t>）</w:t>
      </w:r>
      <w:r>
        <w:rPr>
          <w:rFonts w:hint="eastAsia" w:ascii="仿宋_GB2312" w:hAnsi="仿宋_GB2312" w:eastAsia="仿宋_GB2312" w:cs="仿宋_GB2312"/>
          <w:bCs/>
          <w:color w:val="000000"/>
          <w:szCs w:val="32"/>
          <w:highlight w:val="none"/>
          <w:lang w:eastAsia="zh-TW"/>
        </w:rPr>
        <w:t>产业主管部门，在协商一致的基础上与乙方订立此协议。</w:t>
      </w:r>
    </w:p>
    <w:p>
      <w:pPr>
        <w:spacing w:line="440" w:lineRule="exact"/>
        <w:ind w:firstLine="640" w:firstLineChars="200"/>
        <w:rPr>
          <w:rFonts w:ascii="仿宋_GB2312" w:hAnsi="仿宋_GB2312" w:eastAsia="仿宋_GB2312" w:cs="仿宋_GB2312"/>
          <w:color w:val="000000"/>
          <w:sz w:val="32"/>
          <w:szCs w:val="32"/>
          <w:highlight w:val="none"/>
        </w:rPr>
      </w:pPr>
    </w:p>
    <w:p>
      <w:pPr>
        <w:spacing w:line="560" w:lineRule="exact"/>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第一条 办公</w:t>
      </w:r>
      <w:r>
        <w:rPr>
          <w:rFonts w:ascii="仿宋_GB2312" w:hAnsi="仿宋_GB2312" w:eastAsia="仿宋_GB2312" w:cs="仿宋_GB2312"/>
          <w:b/>
          <w:bCs/>
          <w:color w:val="000000"/>
          <w:sz w:val="32"/>
          <w:szCs w:val="32"/>
          <w:highlight w:val="none"/>
        </w:rPr>
        <w:t>用房</w:t>
      </w:r>
      <w:r>
        <w:rPr>
          <w:rFonts w:hint="eastAsia" w:ascii="仿宋_GB2312" w:hAnsi="仿宋_GB2312" w:eastAsia="仿宋_GB2312" w:cs="仿宋_GB2312"/>
          <w:b/>
          <w:bCs/>
          <w:color w:val="000000"/>
          <w:sz w:val="32"/>
          <w:szCs w:val="32"/>
          <w:highlight w:val="none"/>
        </w:rPr>
        <w:t>购置</w:t>
      </w:r>
      <w:r>
        <w:rPr>
          <w:rFonts w:ascii="仿宋_GB2312" w:hAnsi="仿宋_GB2312" w:eastAsia="仿宋_GB2312" w:cs="仿宋_GB2312"/>
          <w:b/>
          <w:bCs/>
          <w:color w:val="000000"/>
          <w:sz w:val="32"/>
          <w:szCs w:val="32"/>
          <w:highlight w:val="none"/>
        </w:rPr>
        <w:t>补贴</w:t>
      </w:r>
      <w:r>
        <w:rPr>
          <w:rFonts w:hint="eastAsia" w:ascii="仿宋_GB2312" w:hAnsi="仿宋_GB2312" w:eastAsia="仿宋_GB2312" w:cs="仿宋_GB2312"/>
          <w:b/>
          <w:bCs/>
          <w:color w:val="000000"/>
          <w:sz w:val="32"/>
          <w:szCs w:val="32"/>
          <w:highlight w:val="none"/>
        </w:rPr>
        <w:t>项目基本情况</w:t>
      </w:r>
    </w:p>
    <w:p>
      <w:pPr>
        <w:spacing w:line="560" w:lineRule="exact"/>
        <w:jc w:val="left"/>
        <w:rPr>
          <w:rFonts w:ascii="仿宋_GB2312" w:hAnsi="仿宋_GB2312" w:eastAsia="仿宋_GB2312" w:cs="仿宋_GB2312"/>
          <w:bCs/>
          <w:color w:val="000000"/>
          <w:sz w:val="32"/>
          <w:szCs w:val="32"/>
          <w:highlight w:val="none"/>
          <w:lang w:eastAsia="zh-TW"/>
        </w:rPr>
      </w:pPr>
      <w:r>
        <w:rPr>
          <w:rFonts w:hint="eastAsia" w:ascii="仿宋_GB2312" w:hAnsi="仿宋_GB2312" w:eastAsia="仿宋_GB2312" w:cs="仿宋_GB2312"/>
          <w:bCs/>
          <w:color w:val="000000"/>
          <w:sz w:val="32"/>
          <w:szCs w:val="32"/>
          <w:highlight w:val="none"/>
        </w:rPr>
        <w:t>项目</w:t>
      </w:r>
      <w:r>
        <w:rPr>
          <w:rFonts w:hint="eastAsia" w:ascii="仿宋_GB2312" w:hAnsi="仿宋_GB2312" w:eastAsia="仿宋_GB2312" w:cs="仿宋_GB2312"/>
          <w:bCs/>
          <w:color w:val="000000"/>
          <w:sz w:val="32"/>
          <w:szCs w:val="32"/>
          <w:highlight w:val="none"/>
          <w:lang w:eastAsia="zh-TW"/>
        </w:rPr>
        <w:t>位置：</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lang w:eastAsia="zh-TW"/>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lang w:eastAsia="zh-TW"/>
        </w:rPr>
        <w:t xml:space="preserve">   </w:t>
      </w:r>
    </w:p>
    <w:p>
      <w:pPr>
        <w:spacing w:line="560" w:lineRule="exact"/>
        <w:jc w:val="left"/>
        <w:rPr>
          <w:rFonts w:ascii="仿宋_GB2312" w:hAnsi="仿宋_GB2312" w:eastAsia="仿宋_GB2312" w:cs="仿宋_GB2312"/>
          <w:bCs/>
          <w:color w:val="000000"/>
          <w:sz w:val="32"/>
          <w:szCs w:val="32"/>
          <w:highlight w:val="none"/>
          <w:lang w:eastAsia="zh-TW"/>
        </w:rPr>
      </w:pPr>
      <w:r>
        <w:rPr>
          <w:rFonts w:hint="eastAsia" w:ascii="仿宋_GB2312" w:hAnsi="仿宋_GB2312" w:eastAsia="仿宋_GB2312" w:cs="仿宋_GB2312"/>
          <w:bCs/>
          <w:color w:val="000000"/>
          <w:sz w:val="32"/>
          <w:szCs w:val="32"/>
          <w:highlight w:val="none"/>
          <w:lang w:eastAsia="zh-TW"/>
        </w:rPr>
        <w:t>土地</w:t>
      </w:r>
      <w:r>
        <w:rPr>
          <w:rFonts w:hint="eastAsia" w:ascii="仿宋_GB2312" w:hAnsi="仿宋_GB2312" w:eastAsia="仿宋_GB2312" w:cs="仿宋_GB2312"/>
          <w:bCs/>
          <w:color w:val="000000"/>
          <w:sz w:val="32"/>
          <w:szCs w:val="32"/>
          <w:highlight w:val="none"/>
        </w:rPr>
        <w:t>功能</w:t>
      </w:r>
      <w:r>
        <w:rPr>
          <w:rFonts w:hint="eastAsia" w:ascii="仿宋_GB2312" w:hAnsi="仿宋_GB2312" w:eastAsia="仿宋_GB2312" w:cs="仿宋_GB2312"/>
          <w:bCs/>
          <w:color w:val="000000"/>
          <w:sz w:val="32"/>
          <w:szCs w:val="32"/>
          <w:highlight w:val="none"/>
          <w:lang w:eastAsia="zh-TW"/>
        </w:rPr>
        <w:t>：</w:t>
      </w:r>
      <w:r>
        <w:rPr>
          <w:rFonts w:hint="eastAsia" w:ascii="仿宋_GB2312" w:hAnsi="仿宋_GB2312" w:eastAsia="仿宋_GB2312" w:cs="仿宋_GB2312"/>
          <w:bCs/>
          <w:color w:val="000000"/>
          <w:sz w:val="32"/>
          <w:szCs w:val="32"/>
          <w:highlight w:val="none"/>
          <w:u w:val="single"/>
          <w:lang w:eastAsia="zh-TW"/>
        </w:rPr>
        <w:t xml:space="preserve"> </w:t>
      </w:r>
      <w:r>
        <w:rPr>
          <w:rFonts w:hint="eastAsia" w:ascii="仿宋_GB2312" w:hAnsi="仿宋_GB2312" w:eastAsia="仿宋_GB2312" w:cs="仿宋_GB2312"/>
          <w:bCs/>
          <w:color w:val="000000"/>
          <w:sz w:val="32"/>
          <w:szCs w:val="32"/>
          <w:highlight w:val="none"/>
          <w:u w:val="single"/>
        </w:rPr>
        <w:t xml:space="preserve"> </w:t>
      </w:r>
      <w:r>
        <w:rPr>
          <w:rFonts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lang w:eastAsia="zh-TW"/>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lang w:eastAsia="zh-TW"/>
        </w:rPr>
        <w:t xml:space="preserve">   </w:t>
      </w:r>
    </w:p>
    <w:p>
      <w:pPr>
        <w:spacing w:line="560" w:lineRule="exact"/>
        <w:jc w:val="left"/>
        <w:rPr>
          <w:rFonts w:ascii="仿宋_GB2312" w:hAnsi="仿宋_GB2312" w:eastAsia="仿宋_GB2312" w:cs="仿宋_GB2312"/>
          <w:bCs/>
          <w:color w:val="000000"/>
          <w:sz w:val="32"/>
          <w:szCs w:val="32"/>
          <w:highlight w:val="none"/>
          <w:u w:val="single"/>
        </w:rPr>
      </w:pPr>
      <w:r>
        <w:rPr>
          <w:rFonts w:hint="eastAsia" w:ascii="仿宋_GB2312" w:hAnsi="仿宋_GB2312" w:eastAsia="仿宋_GB2312" w:cs="仿宋_GB2312"/>
          <w:bCs/>
          <w:color w:val="000000"/>
          <w:sz w:val="32"/>
          <w:szCs w:val="32"/>
          <w:highlight w:val="none"/>
          <w:lang w:eastAsia="zh-TW"/>
        </w:rPr>
        <w:t>总建筑面积（平方米）：</w:t>
      </w:r>
      <w:r>
        <w:rPr>
          <w:rFonts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rPr>
        <w:t xml:space="preserve">                        </w:t>
      </w:r>
    </w:p>
    <w:p>
      <w:pPr>
        <w:spacing w:line="560" w:lineRule="exact"/>
        <w:jc w:val="left"/>
        <w:rPr>
          <w:rFonts w:ascii="仿宋_GB2312" w:hAnsi="仿宋_GB2312" w:eastAsia="仿宋_GB2312" w:cs="仿宋_GB2312"/>
          <w:bCs/>
          <w:color w:val="000000"/>
          <w:sz w:val="32"/>
          <w:szCs w:val="32"/>
          <w:highlight w:val="none"/>
          <w:u w:val="single"/>
        </w:rPr>
      </w:pPr>
      <w:r>
        <w:rPr>
          <w:rFonts w:hint="eastAsia" w:ascii="仿宋_GB2312" w:hAnsi="仿宋_GB2312" w:eastAsia="仿宋_GB2312" w:cs="仿宋_GB2312"/>
          <w:bCs/>
          <w:color w:val="000000"/>
          <w:sz w:val="32"/>
          <w:szCs w:val="32"/>
          <w:highlight w:val="none"/>
          <w:lang w:eastAsia="zh-TW"/>
        </w:rPr>
        <w:t>产业类别</w:t>
      </w: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bCs/>
          <w:color w:val="000000"/>
          <w:sz w:val="32"/>
          <w:szCs w:val="32"/>
          <w:highlight w:val="none"/>
          <w:u w:val="single"/>
          <w:lang w:eastAsia="zh-TW"/>
        </w:rPr>
        <w:t xml:space="preserve"> </w:t>
      </w:r>
      <w:r>
        <w:rPr>
          <w:rFonts w:hint="eastAsia" w:ascii="仿宋_GB2312" w:hAnsi="仿宋_GB2312" w:eastAsia="仿宋_GB2312" w:cs="仿宋_GB2312"/>
          <w:bCs/>
          <w:color w:val="000000"/>
          <w:sz w:val="32"/>
          <w:szCs w:val="32"/>
          <w:highlight w:val="none"/>
          <w:u w:val="single"/>
        </w:rPr>
        <w:t xml:space="preserve"> </w:t>
      </w:r>
      <w:r>
        <w:rPr>
          <w:rFonts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lang w:eastAsia="zh-TW"/>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lang w:eastAsia="zh-TW"/>
        </w:rPr>
        <w:t xml:space="preserve">    </w:t>
      </w:r>
      <w:r>
        <w:rPr>
          <w:rFonts w:hint="eastAsia" w:ascii="仿宋_GB2312" w:hAnsi="仿宋_GB2312" w:eastAsia="仿宋_GB2312" w:cs="仿宋_GB2312"/>
          <w:bCs/>
          <w:color w:val="000000"/>
          <w:sz w:val="32"/>
          <w:szCs w:val="32"/>
          <w:highlight w:val="none"/>
          <w:u w:val="single"/>
        </w:rPr>
        <w:t xml:space="preserve"> </w:t>
      </w:r>
      <w:r>
        <w:rPr>
          <w:rFonts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rPr>
        <w:t xml:space="preserve">     </w:t>
      </w:r>
    </w:p>
    <w:p>
      <w:pPr>
        <w:pStyle w:val="6"/>
        <w:spacing w:line="560" w:lineRule="exact"/>
        <w:ind w:firstLine="0"/>
        <w:rPr>
          <w:rFonts w:ascii="仿宋_GB2312" w:hAnsi="仿宋_GB2312" w:eastAsia="仿宋_GB2312" w:cs="仿宋_GB2312"/>
          <w:color w:val="000000"/>
          <w:szCs w:val="32"/>
          <w:highlight w:val="none"/>
        </w:rPr>
      </w:pPr>
      <w:r>
        <w:rPr>
          <w:rFonts w:hint="eastAsia" w:ascii="仿宋_GB2312" w:hAnsi="仿宋_GB2312" w:eastAsia="仿宋_GB2312" w:cs="仿宋_GB2312"/>
          <w:b/>
          <w:color w:val="000000"/>
          <w:szCs w:val="32"/>
          <w:highlight w:val="none"/>
        </w:rPr>
        <w:t>第二条 甲方权利和义务</w:t>
      </w:r>
    </w:p>
    <w:p>
      <w:pPr>
        <w:spacing w:line="560" w:lineRule="exact"/>
        <w:ind w:firstLine="640" w:firstLineChars="200"/>
        <w:rPr>
          <w:rFonts w:ascii="仿宋_GB2312" w:hAnsi="仿宋_GB2312" w:eastAsia="仿宋_GB2312" w:cs="仿宋_GB2312"/>
          <w:bCs/>
          <w:color w:val="000000"/>
          <w:sz w:val="32"/>
          <w:szCs w:val="32"/>
          <w:highlight w:val="none"/>
          <w:lang w:eastAsia="zh-TW"/>
        </w:rPr>
      </w:pPr>
      <w:r>
        <w:rPr>
          <w:rFonts w:hint="eastAsia" w:ascii="仿宋_GB2312" w:hAnsi="仿宋_GB2312" w:eastAsia="仿宋_GB2312" w:cs="仿宋_GB2312"/>
          <w:bCs/>
          <w:color w:val="000000"/>
          <w:sz w:val="32"/>
          <w:szCs w:val="32"/>
          <w:highlight w:val="none"/>
        </w:rPr>
        <w:t>（一）</w:t>
      </w:r>
      <w:r>
        <w:rPr>
          <w:rFonts w:hint="eastAsia" w:ascii="仿宋_GB2312" w:hAnsi="仿宋_GB2312" w:eastAsia="仿宋_GB2312" w:cs="仿宋_GB2312"/>
          <w:bCs/>
          <w:color w:val="000000"/>
          <w:sz w:val="32"/>
          <w:szCs w:val="32"/>
          <w:highlight w:val="none"/>
          <w:lang w:eastAsia="zh-TW"/>
        </w:rPr>
        <w:t>甲方应根据深圳市产业政策和发展要求，为</w:t>
      </w:r>
      <w:r>
        <w:rPr>
          <w:rFonts w:hint="eastAsia" w:ascii="仿宋_GB2312" w:hAnsi="仿宋_GB2312" w:eastAsia="仿宋_GB2312" w:cs="仿宋_GB2312"/>
          <w:bCs/>
          <w:color w:val="000000"/>
          <w:sz w:val="32"/>
          <w:szCs w:val="32"/>
          <w:highlight w:val="none"/>
        </w:rPr>
        <w:t>办公</w:t>
      </w:r>
      <w:r>
        <w:rPr>
          <w:rFonts w:hint="eastAsia" w:ascii="仿宋_GB2312" w:hAnsi="仿宋_GB2312" w:eastAsia="仿宋_GB2312" w:cs="仿宋_GB2312"/>
          <w:bCs/>
          <w:color w:val="000000"/>
          <w:sz w:val="32"/>
          <w:szCs w:val="32"/>
          <w:highlight w:val="none"/>
          <w:lang w:eastAsia="zh-TW"/>
        </w:rPr>
        <w:t>用</w:t>
      </w:r>
      <w:r>
        <w:rPr>
          <w:rFonts w:hint="eastAsia" w:ascii="仿宋_GB2312" w:hAnsi="仿宋_GB2312" w:eastAsia="仿宋_GB2312" w:cs="仿宋_GB2312"/>
          <w:bCs/>
          <w:color w:val="000000"/>
          <w:sz w:val="32"/>
          <w:szCs w:val="32"/>
          <w:highlight w:val="none"/>
        </w:rPr>
        <w:t>房</w:t>
      </w:r>
      <w:r>
        <w:rPr>
          <w:rFonts w:hint="eastAsia" w:ascii="仿宋_GB2312" w:hAnsi="仿宋_GB2312" w:eastAsia="仿宋_GB2312" w:cs="仿宋_GB2312"/>
          <w:bCs/>
          <w:color w:val="000000"/>
          <w:sz w:val="32"/>
          <w:szCs w:val="32"/>
          <w:highlight w:val="none"/>
          <w:lang w:eastAsia="zh-TW"/>
        </w:rPr>
        <w:t>项目提供指导性服务。</w:t>
      </w:r>
    </w:p>
    <w:p>
      <w:pPr>
        <w:spacing w:line="560" w:lineRule="exact"/>
        <w:ind w:firstLine="640" w:firstLineChars="200"/>
        <w:rPr>
          <w:rFonts w:ascii="仿宋_GB2312" w:hAnsi="仿宋_GB2312" w:eastAsia="仿宋_GB2312" w:cs="仿宋_GB2312"/>
          <w:bCs/>
          <w:color w:val="000000"/>
          <w:sz w:val="32"/>
          <w:szCs w:val="32"/>
          <w:highlight w:val="none"/>
          <w:lang w:eastAsia="zh-TW"/>
        </w:rPr>
      </w:pPr>
      <w:r>
        <w:rPr>
          <w:rFonts w:hint="eastAsia" w:ascii="仿宋_GB2312" w:hAnsi="仿宋_GB2312" w:eastAsia="仿宋_GB2312" w:cs="仿宋_GB2312"/>
          <w:bCs/>
          <w:color w:val="000000"/>
          <w:sz w:val="32"/>
          <w:szCs w:val="32"/>
          <w:highlight w:val="none"/>
        </w:rPr>
        <w:t>（二）</w:t>
      </w:r>
      <w:r>
        <w:rPr>
          <w:rFonts w:hint="eastAsia" w:ascii="仿宋_GB2312" w:hAnsi="仿宋_GB2312" w:eastAsia="仿宋_GB2312" w:cs="仿宋_GB2312"/>
          <w:bCs/>
          <w:color w:val="000000"/>
          <w:sz w:val="32"/>
          <w:szCs w:val="32"/>
          <w:highlight w:val="none"/>
          <w:lang w:eastAsia="zh-TW"/>
        </w:rPr>
        <w:t>甲方有权在本项目</w:t>
      </w:r>
      <w:r>
        <w:rPr>
          <w:rFonts w:hint="eastAsia" w:ascii="仿宋_GB2312" w:hAnsi="仿宋_GB2312" w:eastAsia="仿宋_GB2312" w:cs="仿宋_GB2312"/>
          <w:bCs/>
          <w:color w:val="000000"/>
          <w:sz w:val="32"/>
          <w:szCs w:val="32"/>
          <w:highlight w:val="none"/>
        </w:rPr>
        <w:t>获得购置</w:t>
      </w:r>
      <w:r>
        <w:rPr>
          <w:rFonts w:ascii="仿宋_GB2312" w:hAnsi="仿宋_GB2312" w:eastAsia="仿宋_GB2312" w:cs="仿宋_GB2312"/>
          <w:bCs/>
          <w:color w:val="000000"/>
          <w:sz w:val="32"/>
          <w:szCs w:val="32"/>
          <w:highlight w:val="none"/>
        </w:rPr>
        <w:t>补贴</w:t>
      </w:r>
      <w:r>
        <w:rPr>
          <w:rFonts w:hint="eastAsia" w:ascii="仿宋_GB2312" w:hAnsi="仿宋_GB2312" w:eastAsia="仿宋_GB2312" w:cs="仿宋_GB2312"/>
          <w:bCs/>
          <w:color w:val="000000"/>
          <w:sz w:val="32"/>
          <w:szCs w:val="32"/>
          <w:highlight w:val="none"/>
        </w:rPr>
        <w:t>之后</w:t>
      </w:r>
      <w:r>
        <w:rPr>
          <w:rFonts w:ascii="仿宋_GB2312" w:hAnsi="仿宋_GB2312" w:eastAsia="仿宋_GB2312" w:cs="仿宋_GB2312"/>
          <w:bCs/>
          <w:color w:val="000000"/>
          <w:sz w:val="32"/>
          <w:szCs w:val="32"/>
          <w:highlight w:val="none"/>
        </w:rPr>
        <w:t>每</w:t>
      </w:r>
      <w:r>
        <w:rPr>
          <w:rFonts w:hint="eastAsia" w:ascii="仿宋_GB2312" w:hAnsi="仿宋_GB2312" w:eastAsia="仿宋_GB2312" w:cs="仿宋_GB2312"/>
          <w:bCs/>
          <w:color w:val="000000"/>
          <w:sz w:val="32"/>
          <w:szCs w:val="32"/>
          <w:highlight w:val="none"/>
        </w:rPr>
        <w:t>2年（一个</w:t>
      </w:r>
      <w:r>
        <w:rPr>
          <w:rFonts w:ascii="仿宋_GB2312" w:hAnsi="仿宋_GB2312" w:eastAsia="仿宋_GB2312" w:cs="仿宋_GB2312"/>
          <w:bCs/>
          <w:color w:val="000000"/>
          <w:sz w:val="32"/>
          <w:szCs w:val="32"/>
          <w:highlight w:val="none"/>
        </w:rPr>
        <w:t>核算期</w:t>
      </w:r>
      <w:r>
        <w:rPr>
          <w:rFonts w:hint="eastAsia" w:ascii="仿宋_GB2312" w:hAnsi="仿宋_GB2312" w:eastAsia="仿宋_GB2312" w:cs="仿宋_GB2312"/>
          <w:bCs/>
          <w:color w:val="000000"/>
          <w:sz w:val="32"/>
          <w:szCs w:val="32"/>
          <w:highlight w:val="none"/>
        </w:rPr>
        <w:t>）、承诺</w:t>
      </w:r>
      <w:r>
        <w:rPr>
          <w:rFonts w:hint="eastAsia" w:ascii="仿宋_GB2312" w:hAnsi="仿宋_GB2312" w:eastAsia="仿宋_GB2312" w:cs="仿宋_GB2312"/>
          <w:bCs/>
          <w:color w:val="000000"/>
          <w:sz w:val="32"/>
          <w:szCs w:val="32"/>
          <w:highlight w:val="none"/>
          <w:lang w:eastAsia="zh-TW"/>
        </w:rPr>
        <w:t>期届满</w:t>
      </w:r>
      <w:r>
        <w:rPr>
          <w:rFonts w:hint="eastAsia" w:ascii="仿宋_GB2312" w:hAnsi="仿宋_GB2312" w:eastAsia="仿宋_GB2312" w:cs="仿宋_GB2312"/>
          <w:bCs/>
          <w:color w:val="000000"/>
          <w:sz w:val="32"/>
          <w:szCs w:val="32"/>
          <w:highlight w:val="none"/>
        </w:rPr>
        <w:t>后1个</w:t>
      </w:r>
      <w:r>
        <w:rPr>
          <w:rFonts w:ascii="仿宋_GB2312" w:hAnsi="仿宋_GB2312" w:eastAsia="仿宋_GB2312" w:cs="仿宋_GB2312"/>
          <w:bCs/>
          <w:color w:val="000000"/>
          <w:sz w:val="32"/>
          <w:szCs w:val="32"/>
          <w:highlight w:val="none"/>
        </w:rPr>
        <w:t>月内</w:t>
      </w:r>
      <w:r>
        <w:rPr>
          <w:rFonts w:hint="eastAsia" w:ascii="仿宋_GB2312" w:hAnsi="仿宋_GB2312" w:eastAsia="仿宋_GB2312" w:cs="仿宋_GB2312"/>
          <w:bCs/>
          <w:color w:val="000000"/>
          <w:sz w:val="32"/>
          <w:szCs w:val="32"/>
          <w:highlight w:val="none"/>
          <w:lang w:eastAsia="zh-TW"/>
        </w:rPr>
        <w:t>等阶段对本协议约定事项的履行情况进行核查，并出具核查报告。甲方可委托专业机构开展核查工作。</w:t>
      </w:r>
    </w:p>
    <w:p>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bCs/>
          <w:color w:val="000000"/>
          <w:sz w:val="32"/>
          <w:szCs w:val="32"/>
          <w:highlight w:val="none"/>
        </w:rPr>
        <w:t>（三）</w:t>
      </w:r>
      <w:r>
        <w:rPr>
          <w:rFonts w:hint="eastAsia" w:ascii="仿宋_GB2312" w:hAnsi="仿宋_GB2312" w:eastAsia="仿宋_GB2312" w:cs="仿宋_GB2312"/>
          <w:bCs/>
          <w:color w:val="000000"/>
          <w:sz w:val="32"/>
          <w:szCs w:val="32"/>
          <w:highlight w:val="none"/>
          <w:lang w:eastAsia="zh-TW"/>
        </w:rPr>
        <w:t>乙方知晓并同意，如乙方未履行本协议承诺和有关约定的，甲方可组织宝安区相关主管部门共同追究乙方的违约责任。</w:t>
      </w:r>
    </w:p>
    <w:p>
      <w:pPr>
        <w:spacing w:line="560" w:lineRule="exact"/>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第三条 乙方权利和义务</w:t>
      </w:r>
    </w:p>
    <w:p>
      <w:pPr>
        <w:spacing w:line="560" w:lineRule="exact"/>
        <w:ind w:firstLine="640" w:firstLineChars="200"/>
        <w:rPr>
          <w:rFonts w:ascii="仿宋_GB2312" w:hAnsi="仿宋_GB2312" w:eastAsia="仿宋_GB2312" w:cs="仿宋_GB2312"/>
          <w:bCs/>
          <w:color w:val="000000"/>
          <w:sz w:val="32"/>
          <w:szCs w:val="32"/>
          <w:highlight w:val="none"/>
          <w:lang w:eastAsia="zh-TW"/>
        </w:rPr>
      </w:pPr>
      <w:r>
        <w:rPr>
          <w:rFonts w:hint="eastAsia" w:ascii="仿宋_GB2312" w:hAnsi="仿宋_GB2312" w:eastAsia="仿宋_GB2312" w:cs="仿宋_GB2312"/>
          <w:bCs/>
          <w:color w:val="000000"/>
          <w:sz w:val="32"/>
          <w:szCs w:val="32"/>
          <w:highlight w:val="none"/>
        </w:rPr>
        <w:t>（一）</w:t>
      </w:r>
      <w:r>
        <w:rPr>
          <w:rFonts w:hint="eastAsia" w:ascii="仿宋_GB2312" w:hAnsi="仿宋_GB2312" w:eastAsia="仿宋_GB2312" w:cs="仿宋_GB2312"/>
          <w:bCs/>
          <w:color w:val="000000"/>
          <w:sz w:val="32"/>
          <w:szCs w:val="32"/>
          <w:highlight w:val="none"/>
          <w:lang w:eastAsia="zh-TW"/>
        </w:rPr>
        <w:t>乙方获得</w:t>
      </w:r>
      <w:r>
        <w:rPr>
          <w:rFonts w:hint="eastAsia" w:ascii="仿宋_GB2312" w:hAnsi="仿宋_GB2312" w:eastAsia="仿宋_GB2312" w:cs="仿宋_GB2312"/>
          <w:bCs/>
          <w:color w:val="000000"/>
          <w:sz w:val="32"/>
          <w:szCs w:val="32"/>
          <w:highlight w:val="none"/>
        </w:rPr>
        <w:t>购置补贴</w:t>
      </w:r>
      <w:r>
        <w:rPr>
          <w:rFonts w:ascii="仿宋_GB2312" w:hAnsi="仿宋_GB2312" w:eastAsia="仿宋_GB2312" w:cs="仿宋_GB2312"/>
          <w:bCs/>
          <w:color w:val="000000"/>
          <w:sz w:val="32"/>
          <w:szCs w:val="32"/>
          <w:highlight w:val="none"/>
        </w:rPr>
        <w:t>的</w:t>
      </w:r>
      <w:r>
        <w:rPr>
          <w:rFonts w:hint="eastAsia" w:ascii="仿宋_GB2312" w:hAnsi="仿宋_GB2312" w:eastAsia="仿宋_GB2312" w:cs="仿宋_GB2312"/>
          <w:bCs/>
          <w:color w:val="000000"/>
          <w:sz w:val="32"/>
          <w:szCs w:val="32"/>
          <w:highlight w:val="none"/>
          <w:lang w:eastAsia="zh-TW"/>
        </w:rPr>
        <w:t>上述</w:t>
      </w:r>
      <w:r>
        <w:rPr>
          <w:rFonts w:hint="eastAsia" w:ascii="仿宋_GB2312" w:hAnsi="仿宋_GB2312" w:eastAsia="仿宋_GB2312" w:cs="仿宋_GB2312"/>
          <w:bCs/>
          <w:color w:val="000000"/>
          <w:sz w:val="32"/>
          <w:szCs w:val="32"/>
          <w:highlight w:val="none"/>
        </w:rPr>
        <w:t>办公</w:t>
      </w:r>
      <w:r>
        <w:rPr>
          <w:rFonts w:ascii="仿宋_GB2312" w:hAnsi="仿宋_GB2312" w:eastAsia="仿宋_GB2312" w:cs="仿宋_GB2312"/>
          <w:bCs/>
          <w:color w:val="000000"/>
          <w:sz w:val="32"/>
          <w:szCs w:val="32"/>
          <w:highlight w:val="none"/>
        </w:rPr>
        <w:t>用房</w:t>
      </w:r>
      <w:r>
        <w:rPr>
          <w:rFonts w:hint="eastAsia" w:ascii="仿宋_GB2312" w:hAnsi="仿宋_GB2312" w:eastAsia="仿宋_GB2312" w:cs="仿宋_GB2312"/>
          <w:bCs/>
          <w:color w:val="000000"/>
          <w:sz w:val="32"/>
          <w:szCs w:val="32"/>
          <w:highlight w:val="none"/>
        </w:rPr>
        <w:t>自获得购置</w:t>
      </w:r>
      <w:r>
        <w:rPr>
          <w:rFonts w:ascii="仿宋_GB2312" w:hAnsi="仿宋_GB2312" w:eastAsia="仿宋_GB2312" w:cs="仿宋_GB2312"/>
          <w:bCs/>
          <w:color w:val="000000"/>
          <w:sz w:val="32"/>
          <w:szCs w:val="32"/>
          <w:highlight w:val="none"/>
        </w:rPr>
        <w:t>补贴</w:t>
      </w:r>
      <w:r>
        <w:rPr>
          <w:rFonts w:hint="eastAsia" w:ascii="仿宋_GB2312" w:hAnsi="仿宋_GB2312" w:eastAsia="仿宋_GB2312" w:cs="仿宋_GB2312"/>
          <w:bCs/>
          <w:color w:val="000000"/>
          <w:sz w:val="32"/>
          <w:szCs w:val="32"/>
          <w:highlight w:val="none"/>
        </w:rPr>
        <w:t>之日起5年内</w:t>
      </w:r>
      <w:r>
        <w:rPr>
          <w:rFonts w:ascii="仿宋_GB2312" w:hAnsi="仿宋_GB2312" w:eastAsia="仿宋_GB2312" w:cs="仿宋_GB2312"/>
          <w:bCs/>
          <w:color w:val="000000"/>
          <w:sz w:val="32"/>
          <w:szCs w:val="32"/>
          <w:highlight w:val="none"/>
        </w:rPr>
        <w:t>，</w:t>
      </w:r>
      <w:r>
        <w:rPr>
          <w:rFonts w:hint="eastAsia" w:ascii="仿宋_GB2312" w:hAnsi="仿宋_GB2312" w:eastAsia="仿宋_GB2312" w:cs="仿宋_GB2312"/>
          <w:bCs/>
          <w:color w:val="000000"/>
          <w:sz w:val="32"/>
          <w:szCs w:val="32"/>
          <w:highlight w:val="none"/>
          <w:lang w:eastAsia="zh-TW"/>
        </w:rPr>
        <w:t>只能用于</w:t>
      </w:r>
      <w:r>
        <w:rPr>
          <w:rFonts w:hint="eastAsia" w:ascii="仿宋_GB2312" w:hAnsi="仿宋_GB2312" w:eastAsia="仿宋_GB2312" w:cs="仿宋_GB2312"/>
          <w:bCs/>
          <w:color w:val="000000"/>
          <w:sz w:val="32"/>
          <w:szCs w:val="32"/>
          <w:highlight w:val="none"/>
        </w:rPr>
        <w:t>自用</w:t>
      </w:r>
      <w:r>
        <w:rPr>
          <w:rFonts w:ascii="仿宋_GB2312" w:hAnsi="仿宋_GB2312" w:eastAsia="仿宋_GB2312" w:cs="仿宋_GB2312"/>
          <w:bCs/>
          <w:color w:val="000000"/>
          <w:sz w:val="32"/>
          <w:szCs w:val="32"/>
          <w:highlight w:val="none"/>
        </w:rPr>
        <w:t>办公，</w:t>
      </w:r>
      <w:r>
        <w:rPr>
          <w:rFonts w:hint="eastAsia" w:ascii="仿宋_GB2312" w:hAnsi="仿宋_GB2312" w:eastAsia="仿宋_GB2312" w:cs="仿宋_GB2312"/>
          <w:bCs/>
          <w:color w:val="000000"/>
          <w:sz w:val="32"/>
          <w:szCs w:val="32"/>
          <w:highlight w:val="none"/>
          <w:lang w:eastAsia="zh-TW"/>
        </w:rPr>
        <w:t>不得</w:t>
      </w:r>
      <w:r>
        <w:rPr>
          <w:rFonts w:hint="eastAsia" w:ascii="仿宋_GB2312" w:hAnsi="仿宋_GB2312" w:eastAsia="仿宋_GB2312" w:cs="仿宋_GB2312"/>
          <w:bCs/>
          <w:color w:val="000000"/>
          <w:sz w:val="32"/>
          <w:szCs w:val="32"/>
          <w:highlight w:val="none"/>
        </w:rPr>
        <w:t>出售</w:t>
      </w:r>
      <w:r>
        <w:rPr>
          <w:rFonts w:hint="eastAsia" w:ascii="仿宋_GB2312" w:hAnsi="仿宋_GB2312" w:eastAsia="仿宋_GB2312" w:cs="仿宋_GB2312"/>
          <w:bCs/>
          <w:color w:val="000000"/>
          <w:sz w:val="32"/>
          <w:szCs w:val="32"/>
          <w:highlight w:val="none"/>
          <w:lang w:eastAsia="zh-TW"/>
        </w:rPr>
        <w:t>、出租。</w:t>
      </w:r>
    </w:p>
    <w:p>
      <w:pPr>
        <w:spacing w:line="560" w:lineRule="exact"/>
        <w:ind w:firstLine="640" w:firstLineChars="200"/>
        <w:rPr>
          <w:rFonts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（二）乙方承诺：</w:t>
      </w:r>
    </w:p>
    <w:p>
      <w:pPr>
        <w:spacing w:line="560" w:lineRule="exact"/>
        <w:ind w:firstLine="800" w:firstLineChars="250"/>
        <w:rPr>
          <w:rFonts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1、乙方自获得购置</w:t>
      </w:r>
      <w:r>
        <w:rPr>
          <w:rFonts w:ascii="仿宋_GB2312" w:hAnsi="仿宋_GB2312" w:eastAsia="仿宋_GB2312" w:cs="仿宋_GB2312"/>
          <w:bCs/>
          <w:color w:val="000000"/>
          <w:sz w:val="32"/>
          <w:szCs w:val="32"/>
          <w:highlight w:val="none"/>
        </w:rPr>
        <w:t>补贴</w:t>
      </w:r>
      <w:r>
        <w:rPr>
          <w:rFonts w:hint="eastAsia" w:ascii="仿宋_GB2312" w:hAnsi="仿宋_GB2312" w:eastAsia="仿宋_GB2312" w:cs="仿宋_GB2312"/>
          <w:bCs/>
          <w:color w:val="000000"/>
          <w:sz w:val="32"/>
          <w:szCs w:val="32"/>
          <w:highlight w:val="none"/>
        </w:rPr>
        <w:t>之日起5年内，即</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年</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日</w:t>
      </w:r>
      <w:r>
        <w:rPr>
          <w:rFonts w:ascii="仿宋_GB2312" w:hAnsi="仿宋_GB2312" w:eastAsia="仿宋_GB2312" w:cs="仿宋_GB2312"/>
          <w:bCs/>
          <w:color w:val="000000"/>
          <w:sz w:val="32"/>
          <w:szCs w:val="32"/>
          <w:highlight w:val="none"/>
        </w:rPr>
        <w:t>至</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年</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日</w:t>
      </w:r>
      <w:r>
        <w:rPr>
          <w:rFonts w:ascii="仿宋_GB2312" w:hAnsi="仿宋_GB2312" w:eastAsia="仿宋_GB2312" w:cs="仿宋_GB2312"/>
          <w:bCs/>
          <w:color w:val="000000"/>
          <w:sz w:val="32"/>
          <w:szCs w:val="32"/>
          <w:highlight w:val="none"/>
        </w:rPr>
        <w:t>，在宝安持续经营，</w:t>
      </w:r>
      <w:r>
        <w:rPr>
          <w:rFonts w:hint="eastAsia" w:ascii="仿宋_GB2312" w:hAnsi="仿宋_GB2312" w:eastAsia="仿宋_GB2312" w:cs="仿宋_GB2312"/>
          <w:bCs/>
          <w:color w:val="000000"/>
          <w:sz w:val="32"/>
          <w:szCs w:val="32"/>
          <w:highlight w:val="none"/>
        </w:rPr>
        <w:t>依法纳税</w:t>
      </w:r>
      <w:r>
        <w:rPr>
          <w:rFonts w:ascii="仿宋_GB2312" w:hAnsi="仿宋_GB2312" w:eastAsia="仿宋_GB2312" w:cs="仿宋_GB2312"/>
          <w:bCs/>
          <w:color w:val="000000"/>
          <w:sz w:val="32"/>
          <w:szCs w:val="32"/>
          <w:highlight w:val="none"/>
        </w:rPr>
        <w:t>、纳统。</w:t>
      </w:r>
    </w:p>
    <w:p>
      <w:pPr>
        <w:spacing w:line="560" w:lineRule="exact"/>
        <w:ind w:left="210" w:leftChars="100" w:firstLine="640" w:firstLineChars="200"/>
        <w:rPr>
          <w:rFonts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2、乙方自获得购置</w:t>
      </w:r>
      <w:r>
        <w:rPr>
          <w:rFonts w:ascii="仿宋_GB2312" w:hAnsi="仿宋_GB2312" w:eastAsia="仿宋_GB2312" w:cs="仿宋_GB2312"/>
          <w:bCs/>
          <w:color w:val="000000"/>
          <w:sz w:val="32"/>
          <w:szCs w:val="32"/>
          <w:highlight w:val="none"/>
        </w:rPr>
        <w:t>补贴</w:t>
      </w:r>
      <w:r>
        <w:rPr>
          <w:rFonts w:hint="eastAsia" w:ascii="仿宋_GB2312" w:hAnsi="仿宋_GB2312" w:eastAsia="仿宋_GB2312" w:cs="仿宋_GB2312"/>
          <w:bCs/>
          <w:color w:val="000000"/>
          <w:sz w:val="32"/>
          <w:szCs w:val="32"/>
          <w:highlight w:val="none"/>
        </w:rPr>
        <w:t>之日5年内，</w:t>
      </w:r>
      <w:r>
        <w:rPr>
          <w:rFonts w:hint="eastAsia" w:ascii="仿宋_GB2312" w:hAnsi="仿宋_GB2312" w:eastAsia="仿宋_GB2312" w:cs="仿宋_GB2312"/>
          <w:sz w:val="32"/>
          <w:szCs w:val="32"/>
          <w:highlight w:val="none"/>
        </w:rPr>
        <w:t>即</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月日至</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日止，年均在宝安区纳入统计营业</w:t>
      </w:r>
      <w:r>
        <w:rPr>
          <w:rFonts w:ascii="仿宋_GB2312" w:hAnsi="仿宋_GB2312" w:eastAsia="仿宋_GB2312" w:cs="仿宋_GB2312"/>
          <w:sz w:val="32"/>
          <w:szCs w:val="32"/>
          <w:highlight w:val="none"/>
        </w:rPr>
        <w:t>收入</w:t>
      </w:r>
      <w:r>
        <w:rPr>
          <w:rFonts w:hint="eastAsia" w:ascii="仿宋_GB2312" w:hAnsi="仿宋_GB2312" w:eastAsia="仿宋_GB2312" w:cs="仿宋_GB2312"/>
          <w:sz w:val="32"/>
          <w:szCs w:val="32"/>
          <w:highlight w:val="none"/>
        </w:rPr>
        <w:t>不少于</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建议</w:t>
      </w:r>
      <w:r>
        <w:rPr>
          <w:rFonts w:ascii="仿宋_GB2312" w:hAnsi="仿宋_GB2312" w:eastAsia="仿宋_GB2312" w:cs="仿宋_GB2312"/>
          <w:sz w:val="32"/>
          <w:szCs w:val="32"/>
          <w:highlight w:val="none"/>
        </w:rPr>
        <w:t>参考申请补贴上年度</w:t>
      </w:r>
      <w:r>
        <w:rPr>
          <w:rFonts w:hint="eastAsia" w:ascii="仿宋_GB2312" w:hAnsi="仿宋_GB2312" w:eastAsia="仿宋_GB2312" w:cs="仿宋_GB2312"/>
          <w:sz w:val="32"/>
          <w:szCs w:val="32"/>
          <w:highlight w:val="none"/>
        </w:rPr>
        <w:t>营业收入</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w:t>
      </w:r>
    </w:p>
    <w:p>
      <w:pPr>
        <w:spacing w:line="560" w:lineRule="exact"/>
        <w:ind w:left="210" w:leftChars="100" w:firstLine="640" w:firstLineChars="200"/>
        <w:rPr>
          <w:rFonts w:ascii="仿宋_GB2312" w:hAnsi="仿宋_GB2312" w:eastAsia="仿宋_GB2312" w:cs="仿宋_GB2312"/>
          <w:bCs/>
          <w:color w:val="000000"/>
          <w:sz w:val="32"/>
          <w:szCs w:val="32"/>
          <w:highlight w:val="none"/>
        </w:rPr>
      </w:pPr>
      <w:r>
        <w:rPr>
          <w:rFonts w:ascii="仿宋_GB2312" w:hAnsi="仿宋_GB2312" w:eastAsia="仿宋_GB2312" w:cs="仿宋_GB2312"/>
          <w:bCs/>
          <w:color w:val="000000"/>
          <w:sz w:val="32"/>
          <w:szCs w:val="32"/>
          <w:highlight w:val="none"/>
        </w:rPr>
        <w:t>3</w:t>
      </w:r>
      <w:r>
        <w:rPr>
          <w:rFonts w:hint="eastAsia" w:ascii="仿宋_GB2312" w:hAnsi="仿宋_GB2312" w:eastAsia="仿宋_GB2312" w:cs="仿宋_GB2312"/>
          <w:bCs/>
          <w:color w:val="000000"/>
          <w:sz w:val="32"/>
          <w:szCs w:val="32"/>
          <w:highlight w:val="none"/>
        </w:rPr>
        <w:t>、乙方自获得购置</w:t>
      </w:r>
      <w:r>
        <w:rPr>
          <w:rFonts w:ascii="仿宋_GB2312" w:hAnsi="仿宋_GB2312" w:eastAsia="仿宋_GB2312" w:cs="仿宋_GB2312"/>
          <w:bCs/>
          <w:color w:val="000000"/>
          <w:sz w:val="32"/>
          <w:szCs w:val="32"/>
          <w:highlight w:val="none"/>
        </w:rPr>
        <w:t>补贴</w:t>
      </w:r>
      <w:r>
        <w:rPr>
          <w:rFonts w:hint="eastAsia" w:ascii="仿宋_GB2312" w:hAnsi="仿宋_GB2312" w:eastAsia="仿宋_GB2312" w:cs="仿宋_GB2312"/>
          <w:bCs/>
          <w:color w:val="000000"/>
          <w:sz w:val="32"/>
          <w:szCs w:val="32"/>
          <w:highlight w:val="none"/>
        </w:rPr>
        <w:t>之日5年内，</w:t>
      </w:r>
      <w:r>
        <w:rPr>
          <w:rFonts w:hint="eastAsia" w:ascii="仿宋_GB2312" w:hAnsi="仿宋_GB2312" w:eastAsia="仿宋_GB2312" w:cs="仿宋_GB2312"/>
          <w:sz w:val="32"/>
          <w:szCs w:val="32"/>
          <w:highlight w:val="none"/>
        </w:rPr>
        <w:t>即</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月日至</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日止，年均在宝安区纳税额不少于</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建议</w:t>
      </w:r>
      <w:r>
        <w:rPr>
          <w:rFonts w:ascii="仿宋_GB2312" w:hAnsi="仿宋_GB2312" w:eastAsia="仿宋_GB2312" w:cs="仿宋_GB2312"/>
          <w:sz w:val="32"/>
          <w:szCs w:val="32"/>
          <w:highlight w:val="none"/>
        </w:rPr>
        <w:t>参考申请补贴上年度</w:t>
      </w:r>
      <w:r>
        <w:rPr>
          <w:rFonts w:hint="eastAsia" w:ascii="仿宋_GB2312" w:hAnsi="仿宋_GB2312" w:eastAsia="仿宋_GB2312" w:cs="仿宋_GB2312"/>
          <w:sz w:val="32"/>
          <w:szCs w:val="32"/>
          <w:highlight w:val="none"/>
        </w:rPr>
        <w:t>纳税额</w:t>
      </w:r>
      <w:r>
        <w:rPr>
          <w:rFonts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（三）乙方在获得</w:t>
      </w:r>
      <w:r>
        <w:rPr>
          <w:rFonts w:ascii="仿宋_GB2312" w:hAnsi="仿宋_GB2312" w:eastAsia="仿宋_GB2312" w:cs="仿宋_GB2312"/>
          <w:bCs/>
          <w:color w:val="000000"/>
          <w:sz w:val="32"/>
          <w:szCs w:val="32"/>
          <w:highlight w:val="none"/>
        </w:rPr>
        <w:t>购置补贴</w:t>
      </w:r>
      <w:r>
        <w:rPr>
          <w:rFonts w:hint="eastAsia" w:ascii="仿宋_GB2312" w:hAnsi="仿宋_GB2312" w:eastAsia="仿宋_GB2312" w:cs="仿宋_GB2312"/>
          <w:bCs/>
          <w:color w:val="000000"/>
          <w:sz w:val="32"/>
          <w:szCs w:val="32"/>
          <w:highlight w:val="none"/>
        </w:rPr>
        <w:t>后，应按年度向甲方提交上年度企业运营情况的书面报告（包括</w:t>
      </w:r>
      <w:r>
        <w:rPr>
          <w:rFonts w:ascii="仿宋_GB2312" w:hAnsi="仿宋_GB2312" w:eastAsia="仿宋_GB2312" w:cs="仿宋_GB2312"/>
          <w:bCs/>
          <w:color w:val="000000"/>
          <w:sz w:val="32"/>
          <w:szCs w:val="32"/>
          <w:highlight w:val="none"/>
        </w:rPr>
        <w:t>但不限于</w:t>
      </w:r>
      <w:r>
        <w:rPr>
          <w:rFonts w:hint="eastAsia" w:ascii="仿宋_GB2312" w:hAnsi="仿宋_GB2312" w:eastAsia="仿宋_GB2312" w:cs="仿宋_GB2312"/>
          <w:bCs/>
          <w:color w:val="000000"/>
          <w:sz w:val="32"/>
          <w:szCs w:val="32"/>
          <w:highlight w:val="none"/>
        </w:rPr>
        <w:t>产业发展</w:t>
      </w:r>
      <w:r>
        <w:rPr>
          <w:rFonts w:ascii="仿宋_GB2312" w:hAnsi="仿宋_GB2312" w:eastAsia="仿宋_GB2312" w:cs="仿宋_GB2312"/>
          <w:bCs/>
          <w:color w:val="000000"/>
          <w:sz w:val="32"/>
          <w:szCs w:val="32"/>
          <w:highlight w:val="none"/>
        </w:rPr>
        <w:t>、营业收入</w:t>
      </w:r>
      <w:r>
        <w:rPr>
          <w:rFonts w:hint="eastAsia" w:ascii="仿宋_GB2312" w:hAnsi="仿宋_GB2312" w:eastAsia="仿宋_GB2312" w:cs="仿宋_GB2312"/>
          <w:bCs/>
          <w:color w:val="000000"/>
          <w:sz w:val="32"/>
          <w:szCs w:val="32"/>
          <w:highlight w:val="none"/>
        </w:rPr>
        <w:t>、纳税及</w:t>
      </w:r>
      <w:r>
        <w:rPr>
          <w:rFonts w:ascii="仿宋_GB2312" w:hAnsi="仿宋_GB2312" w:eastAsia="仿宋_GB2312" w:cs="仿宋_GB2312"/>
          <w:bCs/>
          <w:color w:val="000000"/>
          <w:sz w:val="32"/>
          <w:szCs w:val="32"/>
          <w:highlight w:val="none"/>
        </w:rPr>
        <w:t>办公用房使用情况</w:t>
      </w:r>
      <w:r>
        <w:rPr>
          <w:rFonts w:hint="eastAsia" w:ascii="仿宋_GB2312" w:hAnsi="仿宋_GB2312" w:eastAsia="仿宋_GB2312" w:cs="仿宋_GB2312"/>
          <w:bCs/>
          <w:color w:val="000000"/>
          <w:sz w:val="32"/>
          <w:szCs w:val="32"/>
          <w:highlight w:val="none"/>
        </w:rPr>
        <w:t>等）。</w:t>
      </w:r>
    </w:p>
    <w:p>
      <w:pPr>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bCs/>
          <w:color w:val="000000"/>
          <w:sz w:val="32"/>
          <w:szCs w:val="32"/>
          <w:highlight w:val="none"/>
        </w:rPr>
        <w:t>（四）对于甲方或甲方委托的专业机构核查乙方项目的运营情况，乙方应主动配合，在甲方的核查通知书要求的时限内提供相关资料。</w:t>
      </w:r>
    </w:p>
    <w:p>
      <w:pPr>
        <w:spacing w:line="560" w:lineRule="exact"/>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第四条 违约责任</w:t>
      </w:r>
    </w:p>
    <w:p>
      <w:pPr>
        <w:spacing w:line="560" w:lineRule="exact"/>
        <w:ind w:firstLine="640" w:firstLineChars="200"/>
        <w:rPr>
          <w:rFonts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一）经甲方或甲方委托的专业机构核查，乙方履约考核未通过的，甲方有权责令其限期整改；对未按要求整改的，甲方有权建议相关部门将乙方、关联企业及法定代表人列入失信“黑名单”，并及时报送至深圳市公共信用信息管理系统，通过深圳市信用中心向相关职能部门和社会披露。甲方有权组织相关职责部门依法依规实施联合惩戒。</w:t>
      </w:r>
    </w:p>
    <w:p>
      <w:pPr>
        <w:spacing w:line="560" w:lineRule="exact"/>
        <w:ind w:firstLine="640" w:firstLineChars="200"/>
        <w:rPr>
          <w:rFonts w:ascii="仿宋_GB2312" w:hAnsi="仿宋_GB2312" w:eastAsia="仿宋_GB2312" w:cs="仿宋_GB2312"/>
          <w:bCs/>
          <w:color w:val="000000"/>
          <w:sz w:val="32"/>
          <w:szCs w:val="32"/>
          <w:highlight w:val="none"/>
        </w:rPr>
      </w:pPr>
      <w:bookmarkStart w:id="27" w:name="_Hlk514774179"/>
      <w:r>
        <w:rPr>
          <w:rFonts w:hint="eastAsia" w:ascii="仿宋_GB2312" w:hAnsi="仿宋_GB2312" w:eastAsia="仿宋_GB2312" w:cs="仿宋_GB2312"/>
          <w:bCs/>
          <w:color w:val="000000"/>
          <w:sz w:val="32"/>
          <w:szCs w:val="32"/>
          <w:highlight w:val="none"/>
        </w:rPr>
        <w:t>（二）除上述责任外，如经甲方核查有下述情形发生的，乙方应承担相应的违约责任：</w:t>
      </w:r>
    </w:p>
    <w:p>
      <w:pPr>
        <w:spacing w:line="560" w:lineRule="exact"/>
        <w:ind w:firstLine="640" w:firstLineChars="200"/>
        <w:rPr>
          <w:rFonts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1、</w:t>
      </w:r>
      <w:r>
        <w:rPr>
          <w:rFonts w:hint="eastAsia" w:ascii="仿宋_GB2312" w:hAnsi="仿宋_GB2312" w:eastAsia="仿宋_GB2312" w:cs="仿宋_GB2312"/>
          <w:sz w:val="32"/>
          <w:szCs w:val="32"/>
          <w:highlight w:val="none"/>
        </w:rPr>
        <w:t>在承诺</w:t>
      </w:r>
      <w:r>
        <w:rPr>
          <w:rFonts w:ascii="仿宋_GB2312" w:hAnsi="仿宋_GB2312" w:eastAsia="仿宋_GB2312" w:cs="仿宋_GB2312"/>
          <w:sz w:val="32"/>
          <w:szCs w:val="32"/>
          <w:highlight w:val="none"/>
        </w:rPr>
        <w:t>期内，</w:t>
      </w:r>
      <w:r>
        <w:rPr>
          <w:rFonts w:hint="eastAsia" w:ascii="仿宋_GB2312" w:hAnsi="仿宋_GB2312" w:eastAsia="仿宋_GB2312" w:cs="仿宋_GB2312"/>
          <w:sz w:val="32"/>
          <w:szCs w:val="32"/>
          <w:highlight w:val="none"/>
        </w:rPr>
        <w:t>经甲方核查，</w:t>
      </w:r>
      <w:r>
        <w:rPr>
          <w:rFonts w:hint="eastAsia" w:ascii="仿宋_GB2312" w:hAnsi="仿宋_GB2312" w:eastAsia="仿宋_GB2312" w:cs="仿宋_GB2312"/>
          <w:bCs/>
          <w:color w:val="000000"/>
          <w:sz w:val="32"/>
          <w:szCs w:val="32"/>
          <w:highlight w:val="none"/>
        </w:rPr>
        <w:t>乙方未按本协议约定履行义务，有以下情形之一的：（1）擅自改变项目用途；（2）违反本协议约定，擅自转让、</w:t>
      </w:r>
      <w:r>
        <w:rPr>
          <w:rFonts w:ascii="仿宋_GB2312" w:hAnsi="仿宋_GB2312" w:eastAsia="仿宋_GB2312" w:cs="仿宋_GB2312"/>
          <w:bCs/>
          <w:color w:val="000000"/>
          <w:sz w:val="32"/>
          <w:szCs w:val="32"/>
          <w:highlight w:val="none"/>
        </w:rPr>
        <w:t>出租</w:t>
      </w:r>
      <w:r>
        <w:rPr>
          <w:rFonts w:hint="eastAsia" w:ascii="仿宋_GB2312" w:hAnsi="仿宋_GB2312" w:eastAsia="仿宋_GB2312" w:cs="仿宋_GB2312"/>
          <w:bCs/>
          <w:color w:val="000000"/>
          <w:sz w:val="32"/>
          <w:szCs w:val="32"/>
          <w:highlight w:val="none"/>
        </w:rPr>
        <w:t>获得</w:t>
      </w:r>
      <w:r>
        <w:rPr>
          <w:rFonts w:ascii="仿宋_GB2312" w:hAnsi="仿宋_GB2312" w:eastAsia="仿宋_GB2312" w:cs="仿宋_GB2312"/>
          <w:bCs/>
          <w:color w:val="000000"/>
          <w:sz w:val="32"/>
          <w:szCs w:val="32"/>
          <w:highlight w:val="none"/>
        </w:rPr>
        <w:t>购置补贴的</w:t>
      </w:r>
      <w:r>
        <w:rPr>
          <w:rFonts w:hint="eastAsia" w:ascii="仿宋_GB2312" w:hAnsi="仿宋_GB2312" w:eastAsia="仿宋_GB2312" w:cs="仿宋_GB2312"/>
          <w:bCs/>
          <w:color w:val="000000"/>
          <w:sz w:val="32"/>
          <w:szCs w:val="32"/>
          <w:highlight w:val="none"/>
        </w:rPr>
        <w:t>办公用房的。经甲方责令整改后，仍不合格或拒不整改的，乙方须退回</w:t>
      </w:r>
      <w:r>
        <w:rPr>
          <w:rFonts w:ascii="仿宋_GB2312" w:hAnsi="仿宋_GB2312" w:eastAsia="仿宋_GB2312" w:cs="仿宋_GB2312"/>
          <w:bCs/>
          <w:color w:val="000000"/>
          <w:sz w:val="32"/>
          <w:szCs w:val="32"/>
          <w:highlight w:val="none"/>
        </w:rPr>
        <w:t>全部购置补贴。</w:t>
      </w:r>
      <w:bookmarkEnd w:id="27"/>
    </w:p>
    <w:p>
      <w:pPr>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bCs/>
          <w:color w:val="000000"/>
          <w:sz w:val="32"/>
          <w:szCs w:val="32"/>
          <w:highlight w:val="none"/>
        </w:rPr>
        <w:t>2</w:t>
      </w: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sz w:val="32"/>
          <w:szCs w:val="32"/>
          <w:highlight w:val="none"/>
        </w:rPr>
        <w:t>在承诺</w:t>
      </w:r>
      <w:r>
        <w:rPr>
          <w:rFonts w:ascii="仿宋_GB2312" w:hAnsi="仿宋_GB2312" w:eastAsia="仿宋_GB2312" w:cs="仿宋_GB2312"/>
          <w:sz w:val="32"/>
          <w:szCs w:val="32"/>
          <w:highlight w:val="none"/>
        </w:rPr>
        <w:t>期内，</w:t>
      </w:r>
      <w:r>
        <w:rPr>
          <w:rFonts w:hint="eastAsia" w:ascii="仿宋_GB2312" w:hAnsi="仿宋_GB2312" w:eastAsia="仿宋_GB2312" w:cs="仿宋_GB2312"/>
          <w:sz w:val="32"/>
          <w:szCs w:val="32"/>
          <w:highlight w:val="none"/>
        </w:rPr>
        <w:t>经甲方核查，乙方未</w:t>
      </w:r>
      <w:r>
        <w:rPr>
          <w:rFonts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rPr>
        <w:t>本</w:t>
      </w:r>
      <w:r>
        <w:rPr>
          <w:rFonts w:ascii="仿宋_GB2312" w:hAnsi="仿宋_GB2312" w:eastAsia="仿宋_GB2312" w:cs="仿宋_GB2312"/>
          <w:sz w:val="32"/>
          <w:szCs w:val="32"/>
          <w:highlight w:val="none"/>
        </w:rPr>
        <w:t>协议第三条（</w:t>
      </w:r>
      <w:r>
        <w:rPr>
          <w:rFonts w:hint="eastAsia" w:ascii="仿宋_GB2312" w:hAnsi="仿宋_GB2312" w:eastAsia="仿宋_GB2312" w:cs="仿宋_GB2312"/>
          <w:sz w:val="32"/>
          <w:szCs w:val="32"/>
          <w:highlight w:val="none"/>
        </w:rPr>
        <w:t>二</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项</w:t>
      </w:r>
      <w:r>
        <w:rPr>
          <w:rFonts w:ascii="仿宋_GB2312" w:hAnsi="仿宋_GB2312" w:eastAsia="仿宋_GB2312" w:cs="仿宋_GB2312"/>
          <w:sz w:val="32"/>
          <w:szCs w:val="32"/>
          <w:highlight w:val="none"/>
        </w:rPr>
        <w:t>第1</w:t>
      </w:r>
      <w:r>
        <w:rPr>
          <w:rFonts w:hint="eastAsia" w:ascii="仿宋_GB2312" w:hAnsi="仿宋_GB2312" w:eastAsia="仿宋_GB2312" w:cs="仿宋_GB2312"/>
          <w:sz w:val="32"/>
          <w:szCs w:val="32"/>
          <w:highlight w:val="none"/>
        </w:rPr>
        <w:t>点承诺，将企业的商事主体登记注册地址迁出宝安区的，</w:t>
      </w:r>
      <w:r>
        <w:rPr>
          <w:rFonts w:hint="eastAsia" w:ascii="仿宋_GB2312" w:hAnsi="仿宋_GB2312" w:eastAsia="仿宋_GB2312" w:cs="仿宋_GB2312"/>
          <w:bCs/>
          <w:color w:val="000000"/>
          <w:sz w:val="32"/>
          <w:szCs w:val="32"/>
          <w:highlight w:val="none"/>
        </w:rPr>
        <w:t>乙方须退回</w:t>
      </w:r>
      <w:r>
        <w:rPr>
          <w:rFonts w:ascii="仿宋_GB2312" w:hAnsi="仿宋_GB2312" w:eastAsia="仿宋_GB2312" w:cs="仿宋_GB2312"/>
          <w:bCs/>
          <w:color w:val="000000"/>
          <w:sz w:val="32"/>
          <w:szCs w:val="32"/>
          <w:highlight w:val="none"/>
        </w:rPr>
        <w:t>全部购置补贴。</w:t>
      </w:r>
    </w:p>
    <w:p>
      <w:pPr>
        <w:overflowPunct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bCs/>
          <w:color w:val="000000"/>
          <w:sz w:val="32"/>
          <w:szCs w:val="32"/>
          <w:highlight w:val="none"/>
        </w:rPr>
        <w:t>3、</w:t>
      </w:r>
      <w:r>
        <w:rPr>
          <w:rFonts w:hint="eastAsia" w:ascii="仿宋_GB2312" w:hAnsi="仿宋_GB2312" w:eastAsia="仿宋_GB2312" w:cs="仿宋_GB2312"/>
          <w:sz w:val="32"/>
          <w:szCs w:val="32"/>
          <w:highlight w:val="none"/>
        </w:rPr>
        <w:t>承诺期内</w:t>
      </w:r>
      <w:r>
        <w:rPr>
          <w:rFonts w:ascii="仿宋_GB2312" w:hAnsi="仿宋_GB2312" w:eastAsia="仿宋_GB2312" w:cs="仿宋_GB2312"/>
          <w:sz w:val="32"/>
          <w:szCs w:val="32"/>
          <w:highlight w:val="none"/>
        </w:rPr>
        <w:t>及届满</w:t>
      </w:r>
      <w:r>
        <w:rPr>
          <w:rFonts w:hint="eastAsia" w:ascii="仿宋_GB2312" w:hAnsi="仿宋_GB2312" w:eastAsia="仿宋_GB2312" w:cs="仿宋_GB2312"/>
          <w:sz w:val="32"/>
          <w:szCs w:val="32"/>
          <w:highlight w:val="none"/>
        </w:rPr>
        <w:t>时</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经甲方核查，乙方</w:t>
      </w:r>
      <w:r>
        <w:rPr>
          <w:rFonts w:ascii="仿宋_GB2312" w:hAnsi="仿宋_GB2312" w:eastAsia="仿宋_GB2312" w:cs="仿宋_GB2312"/>
          <w:sz w:val="32"/>
          <w:szCs w:val="32"/>
          <w:highlight w:val="none"/>
        </w:rPr>
        <w:t>纳入</w:t>
      </w:r>
      <w:r>
        <w:rPr>
          <w:rFonts w:hint="eastAsia" w:ascii="仿宋_GB2312" w:hAnsi="仿宋_GB2312" w:eastAsia="仿宋_GB2312" w:cs="仿宋_GB2312"/>
          <w:sz w:val="32"/>
          <w:szCs w:val="32"/>
          <w:highlight w:val="none"/>
        </w:rPr>
        <w:t>宝安区</w:t>
      </w:r>
      <w:r>
        <w:rPr>
          <w:rFonts w:ascii="仿宋_GB2312" w:hAnsi="仿宋_GB2312" w:eastAsia="仿宋_GB2312" w:cs="仿宋_GB2312"/>
          <w:sz w:val="32"/>
          <w:szCs w:val="32"/>
          <w:highlight w:val="none"/>
        </w:rPr>
        <w:t>统计核算的</w:t>
      </w:r>
      <w:r>
        <w:rPr>
          <w:rFonts w:hint="eastAsia" w:ascii="仿宋_GB2312" w:hAnsi="仿宋_GB2312" w:eastAsia="仿宋_GB2312" w:cs="仿宋_GB2312"/>
          <w:sz w:val="32"/>
          <w:szCs w:val="32"/>
          <w:highlight w:val="none"/>
        </w:rPr>
        <w:t>营业</w:t>
      </w:r>
      <w:r>
        <w:rPr>
          <w:rFonts w:ascii="仿宋_GB2312" w:hAnsi="仿宋_GB2312" w:eastAsia="仿宋_GB2312" w:cs="仿宋_GB2312"/>
          <w:sz w:val="32"/>
          <w:szCs w:val="32"/>
          <w:highlight w:val="none"/>
        </w:rPr>
        <w:t>收入</w:t>
      </w:r>
      <w:r>
        <w:rPr>
          <w:rFonts w:hint="eastAsia" w:ascii="仿宋_GB2312" w:hAnsi="仿宋_GB2312" w:eastAsia="仿宋_GB2312" w:cs="仿宋_GB2312"/>
          <w:sz w:val="32"/>
          <w:szCs w:val="32"/>
          <w:highlight w:val="none"/>
        </w:rPr>
        <w:t>未达到本</w:t>
      </w:r>
      <w:r>
        <w:rPr>
          <w:rFonts w:ascii="仿宋_GB2312" w:hAnsi="仿宋_GB2312" w:eastAsia="仿宋_GB2312" w:cs="仿宋_GB2312"/>
          <w:sz w:val="32"/>
          <w:szCs w:val="32"/>
          <w:highlight w:val="none"/>
        </w:rPr>
        <w:t>协议第三条（</w:t>
      </w:r>
      <w:r>
        <w:rPr>
          <w:rFonts w:hint="eastAsia" w:ascii="仿宋_GB2312" w:hAnsi="仿宋_GB2312" w:eastAsia="仿宋_GB2312" w:cs="仿宋_GB2312"/>
          <w:sz w:val="32"/>
          <w:szCs w:val="32"/>
          <w:highlight w:val="none"/>
        </w:rPr>
        <w:t>二</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项</w:t>
      </w:r>
      <w:r>
        <w:rPr>
          <w:rFonts w:ascii="仿宋_GB2312" w:hAnsi="仿宋_GB2312" w:eastAsia="仿宋_GB2312" w:cs="仿宋_GB2312"/>
          <w:sz w:val="32"/>
          <w:szCs w:val="32"/>
          <w:highlight w:val="none"/>
        </w:rPr>
        <w:t>第2</w:t>
      </w:r>
      <w:r>
        <w:rPr>
          <w:rFonts w:hint="eastAsia" w:ascii="仿宋_GB2312" w:hAnsi="仿宋_GB2312" w:eastAsia="仿宋_GB2312" w:cs="仿宋_GB2312"/>
          <w:sz w:val="32"/>
          <w:szCs w:val="32"/>
          <w:highlight w:val="none"/>
        </w:rPr>
        <w:t>点承诺要求</w:t>
      </w:r>
      <w:r>
        <w:rPr>
          <w:rFonts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rPr>
        <w:t>要求赔偿</w:t>
      </w:r>
      <w:r>
        <w:rPr>
          <w:rFonts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rPr>
        <w:t>。违约金</w:t>
      </w:r>
      <w:r>
        <w:rPr>
          <w:rFonts w:ascii="仿宋_GB2312" w:hAnsi="仿宋_GB2312" w:eastAsia="仿宋_GB2312" w:cs="仿宋_GB2312"/>
          <w:sz w:val="32"/>
          <w:szCs w:val="32"/>
          <w:highlight w:val="none"/>
        </w:rPr>
        <w:t>金额=</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营业收入承诺</w:t>
      </w:r>
      <w:r>
        <w:rPr>
          <w:rFonts w:hint="eastAsia" w:ascii="仿宋_GB2312" w:hAnsi="仿宋_GB2312" w:eastAsia="仿宋_GB2312" w:cs="仿宋_GB2312"/>
          <w:sz w:val="32"/>
          <w:szCs w:val="32"/>
          <w:highlight w:val="none"/>
        </w:rPr>
        <w:t>值</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每一</w:t>
      </w:r>
      <w:r>
        <w:rPr>
          <w:rFonts w:ascii="仿宋_GB2312" w:hAnsi="仿宋_GB2312" w:eastAsia="仿宋_GB2312" w:cs="仿宋_GB2312"/>
          <w:sz w:val="32"/>
          <w:szCs w:val="32"/>
          <w:highlight w:val="none"/>
        </w:rPr>
        <w:t>核算期</w:t>
      </w:r>
      <w:r>
        <w:rPr>
          <w:rFonts w:hint="eastAsia" w:ascii="仿宋_GB2312" w:hAnsi="仿宋_GB2312" w:eastAsia="仿宋_GB2312" w:cs="仿宋_GB2312"/>
          <w:sz w:val="32"/>
          <w:szCs w:val="32"/>
          <w:highlight w:val="none"/>
        </w:rPr>
        <w:t>年均营业</w:t>
      </w:r>
      <w:r>
        <w:rPr>
          <w:rFonts w:ascii="仿宋_GB2312" w:hAnsi="仿宋_GB2312" w:eastAsia="仿宋_GB2312" w:cs="仿宋_GB2312"/>
          <w:sz w:val="32"/>
          <w:szCs w:val="32"/>
          <w:highlight w:val="none"/>
        </w:rPr>
        <w:t>收入</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营业收入承诺</w:t>
      </w:r>
      <w:r>
        <w:rPr>
          <w:rFonts w:hint="eastAsia" w:ascii="仿宋_GB2312" w:hAnsi="仿宋_GB2312" w:eastAsia="仿宋_GB2312" w:cs="仿宋_GB2312"/>
          <w:sz w:val="32"/>
          <w:szCs w:val="32"/>
          <w:highlight w:val="none"/>
        </w:rPr>
        <w:t>值*所获得的</w:t>
      </w:r>
      <w:r>
        <w:rPr>
          <w:rFonts w:ascii="仿宋_GB2312" w:hAnsi="仿宋_GB2312" w:eastAsia="仿宋_GB2312" w:cs="仿宋_GB2312"/>
          <w:sz w:val="32"/>
          <w:szCs w:val="32"/>
          <w:highlight w:val="none"/>
        </w:rPr>
        <w:t>购置补贴金额。</w:t>
      </w:r>
    </w:p>
    <w:p>
      <w:pPr>
        <w:overflowPunct w:val="0"/>
        <w:spacing w:line="560" w:lineRule="exact"/>
        <w:ind w:firstLine="640" w:firstLineChars="200"/>
        <w:rPr>
          <w:rFonts w:ascii="仿宋_GB2312" w:hAnsi="仿宋_GB2312" w:eastAsia="仿宋_GB2312" w:cs="仿宋_GB2312"/>
          <w:sz w:val="32"/>
          <w:szCs w:val="32"/>
          <w:highlight w:val="none"/>
        </w:rPr>
      </w:pPr>
      <w:r>
        <w:rPr>
          <w:rFonts w:ascii="仿宋_GB2312" w:hAnsi="仿宋_GB2312" w:eastAsia="仿宋_GB2312" w:cs="仿宋_GB2312"/>
          <w:bCs/>
          <w:color w:val="000000"/>
          <w:sz w:val="32"/>
          <w:szCs w:val="32"/>
          <w:highlight w:val="none"/>
        </w:rPr>
        <w:t>4</w:t>
      </w: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sz w:val="32"/>
          <w:szCs w:val="32"/>
          <w:highlight w:val="none"/>
        </w:rPr>
        <w:t>承诺期内</w:t>
      </w:r>
      <w:r>
        <w:rPr>
          <w:rFonts w:ascii="仿宋_GB2312" w:hAnsi="仿宋_GB2312" w:eastAsia="仿宋_GB2312" w:cs="仿宋_GB2312"/>
          <w:sz w:val="32"/>
          <w:szCs w:val="32"/>
          <w:highlight w:val="none"/>
        </w:rPr>
        <w:t>及届满</w:t>
      </w:r>
      <w:r>
        <w:rPr>
          <w:rFonts w:hint="eastAsia" w:ascii="仿宋_GB2312" w:hAnsi="仿宋_GB2312" w:eastAsia="仿宋_GB2312" w:cs="仿宋_GB2312"/>
          <w:sz w:val="32"/>
          <w:szCs w:val="32"/>
          <w:highlight w:val="none"/>
        </w:rPr>
        <w:t>时</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经甲方核查，乙方在宝安区纳税额未达到本</w:t>
      </w:r>
      <w:r>
        <w:rPr>
          <w:rFonts w:ascii="仿宋_GB2312" w:hAnsi="仿宋_GB2312" w:eastAsia="仿宋_GB2312" w:cs="仿宋_GB2312"/>
          <w:sz w:val="32"/>
          <w:szCs w:val="32"/>
          <w:highlight w:val="none"/>
        </w:rPr>
        <w:t>协议第三条（</w:t>
      </w:r>
      <w:r>
        <w:rPr>
          <w:rFonts w:hint="eastAsia" w:ascii="仿宋_GB2312" w:hAnsi="仿宋_GB2312" w:eastAsia="仿宋_GB2312" w:cs="仿宋_GB2312"/>
          <w:sz w:val="32"/>
          <w:szCs w:val="32"/>
          <w:highlight w:val="none"/>
        </w:rPr>
        <w:t>二</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项</w:t>
      </w:r>
      <w:r>
        <w:rPr>
          <w:rFonts w:ascii="仿宋_GB2312" w:hAnsi="仿宋_GB2312" w:eastAsia="仿宋_GB2312" w:cs="仿宋_GB2312"/>
          <w:sz w:val="32"/>
          <w:szCs w:val="32"/>
          <w:highlight w:val="none"/>
        </w:rPr>
        <w:t>第3</w:t>
      </w:r>
      <w:r>
        <w:rPr>
          <w:rFonts w:hint="eastAsia" w:ascii="仿宋_GB2312" w:hAnsi="仿宋_GB2312" w:eastAsia="仿宋_GB2312" w:cs="仿宋_GB2312"/>
          <w:sz w:val="32"/>
          <w:szCs w:val="32"/>
          <w:highlight w:val="none"/>
        </w:rPr>
        <w:t>点承诺要求</w:t>
      </w:r>
      <w:r>
        <w:rPr>
          <w:rFonts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rPr>
        <w:t>要求赔偿</w:t>
      </w:r>
      <w:r>
        <w:rPr>
          <w:rFonts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rPr>
        <w:t>。违约金</w:t>
      </w:r>
      <w:r>
        <w:rPr>
          <w:rFonts w:ascii="仿宋_GB2312" w:hAnsi="仿宋_GB2312" w:eastAsia="仿宋_GB2312" w:cs="仿宋_GB2312"/>
          <w:sz w:val="32"/>
          <w:szCs w:val="32"/>
          <w:highlight w:val="none"/>
        </w:rPr>
        <w:t>金额=</w:t>
      </w:r>
      <w:r>
        <w:rPr>
          <w:rFonts w:hint="eastAsia" w:ascii="仿宋_GB2312" w:hAnsi="仿宋_GB2312" w:eastAsia="仿宋_GB2312" w:cs="仿宋_GB2312"/>
          <w:sz w:val="32"/>
          <w:szCs w:val="32"/>
          <w:highlight w:val="none"/>
        </w:rPr>
        <w:t>（宝安区纳税额</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每一</w:t>
      </w:r>
      <w:r>
        <w:rPr>
          <w:rFonts w:ascii="仿宋_GB2312" w:hAnsi="仿宋_GB2312" w:eastAsia="仿宋_GB2312" w:cs="仿宋_GB2312"/>
          <w:sz w:val="32"/>
          <w:szCs w:val="32"/>
          <w:highlight w:val="none"/>
        </w:rPr>
        <w:t>核算期</w:t>
      </w:r>
      <w:r>
        <w:rPr>
          <w:rFonts w:hint="eastAsia" w:ascii="仿宋_GB2312" w:hAnsi="仿宋_GB2312" w:eastAsia="仿宋_GB2312" w:cs="仿宋_GB2312"/>
          <w:sz w:val="32"/>
          <w:szCs w:val="32"/>
          <w:highlight w:val="none"/>
        </w:rPr>
        <w:t>年均宝安区纳税额）/宝安区纳税额</w:t>
      </w:r>
      <w:r>
        <w:rPr>
          <w:rFonts w:ascii="仿宋_GB2312" w:hAnsi="仿宋_GB2312" w:eastAsia="仿宋_GB2312" w:cs="仿宋_GB2312"/>
          <w:sz w:val="32"/>
          <w:szCs w:val="32"/>
          <w:highlight w:val="none"/>
        </w:rPr>
        <w:t>承诺</w:t>
      </w:r>
      <w:r>
        <w:rPr>
          <w:rFonts w:hint="eastAsia" w:ascii="仿宋_GB2312" w:hAnsi="仿宋_GB2312" w:eastAsia="仿宋_GB2312" w:cs="仿宋_GB2312"/>
          <w:sz w:val="32"/>
          <w:szCs w:val="32"/>
          <w:highlight w:val="none"/>
        </w:rPr>
        <w:t>值*所获得的</w:t>
      </w:r>
      <w:r>
        <w:rPr>
          <w:rFonts w:ascii="仿宋_GB2312" w:hAnsi="仿宋_GB2312" w:eastAsia="仿宋_GB2312" w:cs="仿宋_GB2312"/>
          <w:sz w:val="32"/>
          <w:szCs w:val="32"/>
          <w:highlight w:val="none"/>
        </w:rPr>
        <w:t>购置补贴金额。</w:t>
      </w:r>
    </w:p>
    <w:p>
      <w:pPr>
        <w:spacing w:line="560" w:lineRule="exact"/>
        <w:ind w:firstLine="640" w:firstLineChars="200"/>
        <w:rPr>
          <w:rFonts w:ascii="仿宋_GB2312" w:hAnsi="仿宋_GB2312" w:eastAsia="仿宋_GB2312" w:cs="仿宋_GB2312"/>
          <w:bCs/>
          <w:color w:val="000000"/>
          <w:spacing w:val="-10"/>
          <w:sz w:val="32"/>
          <w:szCs w:val="32"/>
          <w:highlight w:val="none"/>
        </w:rPr>
      </w:pPr>
      <w:r>
        <w:rPr>
          <w:rFonts w:hint="eastAsia" w:ascii="仿宋_GB2312" w:hAnsi="仿宋_GB2312" w:eastAsia="仿宋_GB2312" w:cs="仿宋_GB2312"/>
          <w:bCs/>
          <w:color w:val="000000"/>
          <w:sz w:val="32"/>
          <w:szCs w:val="32"/>
          <w:highlight w:val="none"/>
        </w:rPr>
        <w:t>5、</w:t>
      </w:r>
      <w:r>
        <w:rPr>
          <w:rFonts w:hint="eastAsia" w:ascii="仿宋_GB2312" w:hAnsi="仿宋_GB2312" w:eastAsia="仿宋_GB2312" w:cs="仿宋_GB2312"/>
          <w:sz w:val="32"/>
          <w:szCs w:val="32"/>
          <w:highlight w:val="none"/>
        </w:rPr>
        <w:t>乙方</w:t>
      </w:r>
      <w:r>
        <w:rPr>
          <w:rFonts w:ascii="仿宋_GB2312" w:hAnsi="仿宋_GB2312" w:eastAsia="仿宋_GB2312" w:cs="仿宋_GB2312"/>
          <w:sz w:val="32"/>
          <w:szCs w:val="32"/>
          <w:highlight w:val="none"/>
        </w:rPr>
        <w:t>应</w:t>
      </w:r>
      <w:r>
        <w:rPr>
          <w:rFonts w:hint="eastAsia" w:ascii="仿宋_GB2312" w:hAnsi="仿宋_GB2312" w:eastAsia="仿宋_GB2312" w:cs="仿宋_GB2312"/>
          <w:bCs/>
          <w:color w:val="000000"/>
          <w:sz w:val="32"/>
          <w:szCs w:val="32"/>
          <w:highlight w:val="none"/>
        </w:rPr>
        <w:t>自甲方发出交款通知书之日起20日内退回</w:t>
      </w:r>
      <w:r>
        <w:rPr>
          <w:rFonts w:ascii="仿宋_GB2312" w:hAnsi="仿宋_GB2312" w:eastAsia="仿宋_GB2312" w:cs="仿宋_GB2312"/>
          <w:bCs/>
          <w:color w:val="000000"/>
          <w:sz w:val="32"/>
          <w:szCs w:val="32"/>
          <w:highlight w:val="none"/>
        </w:rPr>
        <w:t>购置补贴或</w:t>
      </w:r>
      <w:r>
        <w:rPr>
          <w:rFonts w:hint="eastAsia" w:ascii="仿宋_GB2312" w:hAnsi="仿宋_GB2312" w:eastAsia="仿宋_GB2312" w:cs="仿宋_GB2312"/>
          <w:bCs/>
          <w:color w:val="000000"/>
          <w:sz w:val="32"/>
          <w:szCs w:val="32"/>
          <w:highlight w:val="none"/>
        </w:rPr>
        <w:t>交清</w:t>
      </w:r>
      <w:r>
        <w:rPr>
          <w:rFonts w:ascii="仿宋_GB2312" w:hAnsi="仿宋_GB2312" w:eastAsia="仿宋_GB2312" w:cs="仿宋_GB2312"/>
          <w:bCs/>
          <w:color w:val="000000"/>
          <w:sz w:val="32"/>
          <w:szCs w:val="32"/>
          <w:highlight w:val="none"/>
        </w:rPr>
        <w:t>违约金</w:t>
      </w:r>
      <w:r>
        <w:rPr>
          <w:rFonts w:hint="eastAsia" w:ascii="仿宋_GB2312" w:hAnsi="仿宋_GB2312" w:eastAsia="仿宋_GB2312" w:cs="仿宋_GB2312"/>
          <w:bCs/>
          <w:color w:val="000000"/>
          <w:sz w:val="32"/>
          <w:szCs w:val="32"/>
          <w:highlight w:val="none"/>
        </w:rPr>
        <w:t>。</w:t>
      </w:r>
      <w:r>
        <w:rPr>
          <w:rFonts w:hint="eastAsia" w:ascii="仿宋_GB2312" w:hAnsi="仿宋_GB2312" w:eastAsia="仿宋_GB2312" w:cs="仿宋_GB2312"/>
          <w:sz w:val="32"/>
          <w:szCs w:val="32"/>
          <w:highlight w:val="none"/>
        </w:rPr>
        <w:t>未如期退回</w:t>
      </w:r>
      <w:r>
        <w:rPr>
          <w:rFonts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rPr>
        <w:t>缴纳的，按银行同期贷款利率计息，直至退回购置补贴</w:t>
      </w:r>
      <w:r>
        <w:rPr>
          <w:rFonts w:ascii="仿宋_GB2312" w:hAnsi="仿宋_GB2312" w:eastAsia="仿宋_GB2312" w:cs="仿宋_GB2312"/>
          <w:sz w:val="32"/>
          <w:szCs w:val="32"/>
          <w:highlight w:val="none"/>
        </w:rPr>
        <w:t>或</w:t>
      </w:r>
      <w:r>
        <w:rPr>
          <w:rFonts w:hint="eastAsia" w:ascii="仿宋_GB2312" w:hAnsi="仿宋_GB2312" w:eastAsia="仿宋_GB2312" w:cs="仿宋_GB2312"/>
          <w:sz w:val="32"/>
          <w:szCs w:val="32"/>
          <w:highlight w:val="none"/>
        </w:rPr>
        <w:t>缴清违约金及利息为止。</w:t>
      </w:r>
    </w:p>
    <w:p>
      <w:pPr>
        <w:pStyle w:val="6"/>
        <w:spacing w:before="156" w:after="156" w:line="560" w:lineRule="exact"/>
        <w:ind w:firstLine="0"/>
        <w:rPr>
          <w:rFonts w:ascii="仿宋_GB2312" w:hAnsi="仿宋_GB2312" w:eastAsia="仿宋_GB2312" w:cs="仿宋_GB2312"/>
          <w:b/>
          <w:color w:val="000000"/>
          <w:spacing w:val="-10"/>
          <w:szCs w:val="32"/>
          <w:highlight w:val="none"/>
        </w:rPr>
      </w:pPr>
      <w:r>
        <w:rPr>
          <w:rFonts w:hint="eastAsia" w:ascii="仿宋_GB2312" w:hAnsi="仿宋_GB2312" w:eastAsia="仿宋_GB2312" w:cs="仿宋_GB2312"/>
          <w:b/>
          <w:color w:val="000000"/>
          <w:spacing w:val="-10"/>
          <w:szCs w:val="32"/>
          <w:highlight w:val="none"/>
        </w:rPr>
        <w:t>第五条 争议解决方式</w:t>
      </w:r>
    </w:p>
    <w:p>
      <w:pPr>
        <w:spacing w:line="560" w:lineRule="exact"/>
        <w:ind w:firstLine="640" w:firstLineChars="200"/>
        <w:rPr>
          <w:rFonts w:ascii="仿宋_GB2312" w:hAnsi="仿宋_GB2312" w:eastAsia="仿宋_GB2312" w:cs="仿宋_GB2312"/>
          <w:bCs/>
          <w:color w:val="000000"/>
          <w:sz w:val="32"/>
          <w:szCs w:val="32"/>
          <w:highlight w:val="none"/>
          <w:lang w:eastAsia="zh-TW"/>
        </w:rPr>
      </w:pPr>
      <w:r>
        <w:rPr>
          <w:rFonts w:hint="eastAsia" w:ascii="仿宋_GB2312" w:hAnsi="仿宋_GB2312" w:eastAsia="仿宋_GB2312" w:cs="仿宋_GB2312"/>
          <w:bCs/>
          <w:color w:val="000000"/>
          <w:sz w:val="32"/>
          <w:szCs w:val="32"/>
          <w:highlight w:val="none"/>
          <w:lang w:eastAsia="zh-TW"/>
        </w:rPr>
        <w:t>因本协议书引起的争议,由双方协商解决。</w:t>
      </w:r>
      <w:commentRangeStart w:id="12"/>
      <w:r>
        <w:rPr>
          <w:rFonts w:hint="eastAsia" w:ascii="仿宋_GB2312" w:hAnsi="仿宋_GB2312" w:eastAsia="仿宋_GB2312" w:cs="仿宋_GB2312"/>
          <w:bCs/>
          <w:color w:val="000000"/>
          <w:sz w:val="32"/>
          <w:szCs w:val="32"/>
          <w:highlight w:val="none"/>
          <w:lang w:eastAsia="zh-TW"/>
        </w:rPr>
        <w:t>若协商不成,应向</w:t>
      </w:r>
      <w:r>
        <w:rPr>
          <w:rFonts w:hint="eastAsia" w:ascii="仿宋_GB2312" w:hAnsi="仿宋_GB2312" w:eastAsia="仿宋_GB2312" w:cs="仿宋_GB2312"/>
          <w:bCs/>
          <w:color w:val="000000"/>
          <w:sz w:val="32"/>
          <w:szCs w:val="32"/>
          <w:highlight w:val="none"/>
        </w:rPr>
        <w:t>获得</w:t>
      </w:r>
      <w:r>
        <w:rPr>
          <w:rFonts w:ascii="仿宋_GB2312" w:hAnsi="仿宋_GB2312" w:eastAsia="仿宋_GB2312" w:cs="仿宋_GB2312"/>
          <w:bCs/>
          <w:color w:val="000000"/>
          <w:sz w:val="32"/>
          <w:szCs w:val="32"/>
          <w:highlight w:val="none"/>
        </w:rPr>
        <w:t>购置补贴办公用房所在地的区级</w:t>
      </w:r>
      <w:r>
        <w:rPr>
          <w:rFonts w:hint="eastAsia" w:ascii="仿宋_GB2312" w:hAnsi="仿宋_GB2312" w:eastAsia="仿宋_GB2312" w:cs="仿宋_GB2312"/>
          <w:bCs/>
          <w:color w:val="000000"/>
          <w:sz w:val="32"/>
          <w:szCs w:val="32"/>
          <w:highlight w:val="none"/>
          <w:lang w:eastAsia="zh-TW"/>
        </w:rPr>
        <w:t>人民法院提起诉讼。</w:t>
      </w:r>
      <w:commentRangeEnd w:id="12"/>
      <w:r>
        <w:rPr>
          <w:highlight w:val="none"/>
        </w:rPr>
        <w:commentReference w:id="12"/>
      </w:r>
    </w:p>
    <w:p>
      <w:pPr>
        <w:pStyle w:val="6"/>
        <w:spacing w:before="156" w:after="156" w:line="560" w:lineRule="exact"/>
        <w:ind w:firstLine="0"/>
        <w:rPr>
          <w:rFonts w:ascii="仿宋_GB2312" w:hAnsi="仿宋_GB2312" w:eastAsia="仿宋_GB2312" w:cs="仿宋_GB2312"/>
          <w:b/>
          <w:color w:val="000000"/>
          <w:spacing w:val="-10"/>
          <w:szCs w:val="32"/>
          <w:highlight w:val="none"/>
        </w:rPr>
      </w:pPr>
      <w:r>
        <w:rPr>
          <w:rFonts w:hint="eastAsia" w:ascii="仿宋_GB2312" w:hAnsi="仿宋_GB2312" w:eastAsia="仿宋_GB2312" w:cs="仿宋_GB2312"/>
          <w:b/>
          <w:color w:val="000000"/>
          <w:spacing w:val="-10"/>
          <w:szCs w:val="32"/>
          <w:highlight w:val="none"/>
        </w:rPr>
        <w:t>第六条  其它</w:t>
      </w:r>
    </w:p>
    <w:p>
      <w:pPr>
        <w:spacing w:line="560" w:lineRule="exact"/>
        <w:ind w:firstLine="640" w:firstLineChars="200"/>
        <w:rPr>
          <w:rFonts w:ascii="仿宋_GB2312" w:hAnsi="仿宋_GB2312" w:eastAsia="仿宋_GB2312" w:cs="仿宋_GB2312"/>
          <w:bCs/>
          <w:color w:val="000000"/>
          <w:sz w:val="32"/>
          <w:szCs w:val="32"/>
          <w:highlight w:val="none"/>
          <w:lang w:eastAsia="zh-TW"/>
        </w:rPr>
      </w:pPr>
      <w:r>
        <w:rPr>
          <w:rFonts w:hint="eastAsia" w:ascii="仿宋_GB2312" w:hAnsi="仿宋_GB2312" w:eastAsia="仿宋_GB2312" w:cs="仿宋_GB2312"/>
          <w:bCs/>
          <w:color w:val="000000"/>
          <w:sz w:val="32"/>
          <w:szCs w:val="32"/>
          <w:highlight w:val="none"/>
        </w:rPr>
        <w:t>（一）</w:t>
      </w:r>
      <w:r>
        <w:rPr>
          <w:rFonts w:hint="eastAsia" w:ascii="仿宋_GB2312" w:hAnsi="仿宋_GB2312" w:eastAsia="仿宋_GB2312" w:cs="仿宋_GB2312"/>
          <w:bCs/>
          <w:color w:val="000000"/>
          <w:sz w:val="32"/>
          <w:szCs w:val="32"/>
          <w:highlight w:val="none"/>
          <w:lang w:eastAsia="zh-TW"/>
        </w:rPr>
        <w:t>在履行本协议过程中，甲方需向乙方告知有关事宜的，乙方同意甲方通过媒体公告形式或通过EMS快递至本协议所记载的乙方地址，媒体公告或EMS邮寄之日均视为送达之日。本合同首部所列地址为乙方通讯地址，如通讯地址变更，则应当于变更前通过书面形式告知甲方，否则甲方按原约定地址发出通知视为已经有效送达。</w:t>
      </w:r>
    </w:p>
    <w:p>
      <w:pPr>
        <w:spacing w:line="560" w:lineRule="exact"/>
        <w:ind w:firstLine="640" w:firstLineChars="200"/>
        <w:rPr>
          <w:rFonts w:ascii="仿宋_GB2312" w:hAnsi="仿宋_GB2312" w:eastAsia="仿宋_GB2312" w:cs="仿宋_GB2312"/>
          <w:bCs/>
          <w:color w:val="000000"/>
          <w:sz w:val="32"/>
          <w:szCs w:val="32"/>
          <w:highlight w:val="none"/>
          <w:lang w:eastAsia="zh-TW"/>
        </w:rPr>
      </w:pPr>
      <w:r>
        <w:rPr>
          <w:rFonts w:hint="eastAsia" w:ascii="仿宋_GB2312" w:hAnsi="仿宋_GB2312" w:eastAsia="仿宋_GB2312" w:cs="仿宋_GB2312"/>
          <w:bCs/>
          <w:color w:val="000000"/>
          <w:sz w:val="32"/>
          <w:szCs w:val="32"/>
          <w:highlight w:val="none"/>
        </w:rPr>
        <w:t>（二）</w:t>
      </w:r>
      <w:r>
        <w:rPr>
          <w:rFonts w:hint="eastAsia" w:ascii="仿宋_GB2312" w:hAnsi="仿宋_GB2312" w:eastAsia="仿宋_GB2312" w:cs="仿宋_GB2312"/>
          <w:bCs/>
          <w:color w:val="000000"/>
          <w:sz w:val="32"/>
          <w:szCs w:val="32"/>
          <w:highlight w:val="none"/>
          <w:lang w:eastAsia="zh-TW"/>
        </w:rPr>
        <w:t>如因职能变更等因素导致甲方不再承担产业监管的职能，本协议项下甲方的权利义务由宝安区新的产业监管职能部门承接，甲方主体的变更不影响本协议以及相关补充协议等文件的效力。</w:t>
      </w:r>
    </w:p>
    <w:p>
      <w:pPr>
        <w:spacing w:line="560" w:lineRule="exact"/>
        <w:ind w:firstLine="640" w:firstLineChars="200"/>
        <w:rPr>
          <w:rFonts w:ascii="仿宋_GB2312" w:hAnsi="仿宋_GB2312" w:eastAsia="仿宋_GB2312" w:cs="仿宋_GB2312"/>
          <w:bCs/>
          <w:color w:val="000000"/>
          <w:sz w:val="32"/>
          <w:szCs w:val="32"/>
          <w:highlight w:val="none"/>
          <w:lang w:eastAsia="zh-TW"/>
        </w:rPr>
      </w:pPr>
      <w:r>
        <w:rPr>
          <w:rFonts w:hint="eastAsia" w:ascii="仿宋_GB2312" w:hAnsi="仿宋_GB2312" w:eastAsia="仿宋_GB2312" w:cs="仿宋_GB2312"/>
          <w:bCs/>
          <w:color w:val="000000"/>
          <w:sz w:val="32"/>
          <w:szCs w:val="32"/>
          <w:highlight w:val="none"/>
        </w:rPr>
        <w:t>（三）</w:t>
      </w:r>
      <w:r>
        <w:rPr>
          <w:rFonts w:hint="eastAsia" w:ascii="仿宋_GB2312" w:hAnsi="仿宋_GB2312" w:eastAsia="仿宋_GB2312" w:cs="仿宋_GB2312"/>
          <w:bCs/>
          <w:color w:val="000000"/>
          <w:sz w:val="32"/>
          <w:szCs w:val="32"/>
          <w:highlight w:val="none"/>
          <w:lang w:eastAsia="zh-TW"/>
        </w:rPr>
        <w:t>本协议书一式四份,甲乙双方各执二份,具同等法律效力。</w:t>
      </w:r>
    </w:p>
    <w:p>
      <w:pPr>
        <w:spacing w:line="560" w:lineRule="exact"/>
        <w:ind w:firstLine="640" w:firstLineChars="200"/>
        <w:rPr>
          <w:rFonts w:ascii="仿宋_GB2312" w:hAnsi="仿宋_GB2312" w:eastAsia="仿宋_GB2312" w:cs="仿宋_GB2312"/>
          <w:bCs/>
          <w:color w:val="000000"/>
          <w:sz w:val="32"/>
          <w:szCs w:val="32"/>
          <w:highlight w:val="none"/>
          <w:lang w:eastAsia="zh-TW"/>
        </w:rPr>
      </w:pPr>
      <w:r>
        <w:rPr>
          <w:rFonts w:hint="eastAsia" w:ascii="仿宋_GB2312" w:hAnsi="仿宋_GB2312" w:eastAsia="仿宋_GB2312" w:cs="仿宋_GB2312"/>
          <w:bCs/>
          <w:color w:val="000000"/>
          <w:sz w:val="32"/>
          <w:szCs w:val="32"/>
          <w:highlight w:val="none"/>
        </w:rPr>
        <w:t>（四）</w:t>
      </w:r>
      <w:r>
        <w:rPr>
          <w:rFonts w:hint="eastAsia" w:ascii="仿宋_GB2312" w:hAnsi="仿宋_GB2312" w:eastAsia="仿宋_GB2312" w:cs="仿宋_GB2312"/>
          <w:bCs/>
          <w:color w:val="000000"/>
          <w:sz w:val="32"/>
          <w:szCs w:val="32"/>
          <w:highlight w:val="none"/>
          <w:lang w:eastAsia="zh-TW"/>
        </w:rPr>
        <w:t>本协议书自甲乙双方签字盖章之日起生效。</w:t>
      </w:r>
    </w:p>
    <w:p>
      <w:pPr>
        <w:spacing w:line="560" w:lineRule="exact"/>
        <w:ind w:firstLine="640" w:firstLineChars="200"/>
        <w:rPr>
          <w:rFonts w:ascii="仿宋_GB2312" w:hAnsi="仿宋_GB2312" w:eastAsia="仿宋_GB2312" w:cs="仿宋_GB2312"/>
          <w:bCs/>
          <w:color w:val="000000"/>
          <w:sz w:val="32"/>
          <w:szCs w:val="32"/>
          <w:highlight w:val="none"/>
          <w:lang w:eastAsia="zh-TW"/>
        </w:rPr>
      </w:pPr>
      <w:r>
        <w:rPr>
          <w:rFonts w:hint="eastAsia" w:ascii="仿宋_GB2312" w:hAnsi="仿宋_GB2312" w:eastAsia="仿宋_GB2312" w:cs="仿宋_GB2312"/>
          <w:bCs/>
          <w:color w:val="000000"/>
          <w:sz w:val="32"/>
          <w:szCs w:val="32"/>
          <w:highlight w:val="none"/>
        </w:rPr>
        <w:t>（五）</w:t>
      </w:r>
      <w:r>
        <w:rPr>
          <w:rFonts w:hint="eastAsia" w:ascii="仿宋_GB2312" w:hAnsi="仿宋_GB2312" w:eastAsia="仿宋_GB2312" w:cs="仿宋_GB2312"/>
          <w:bCs/>
          <w:color w:val="000000"/>
          <w:sz w:val="32"/>
          <w:szCs w:val="32"/>
          <w:highlight w:val="none"/>
          <w:lang w:eastAsia="zh-TW"/>
        </w:rPr>
        <w:t>本协议书未尽事宜,双方通过友好协商解决,可另行订补充协议,本协议的补充协议、附件同为本协议不可分割的组成部分，与本协议书具有同等的法律效力。</w:t>
      </w:r>
    </w:p>
    <w:p>
      <w:pPr>
        <w:pStyle w:val="6"/>
        <w:spacing w:line="560" w:lineRule="exact"/>
        <w:rPr>
          <w:rFonts w:ascii="仿宋_GB2312" w:hAnsi="仿宋_GB2312" w:eastAsia="仿宋_GB2312" w:cs="仿宋_GB2312"/>
          <w:color w:val="000000"/>
          <w:szCs w:val="32"/>
          <w:highlight w:val="none"/>
        </w:rPr>
      </w:pPr>
    </w:p>
    <w:p>
      <w:pPr>
        <w:autoSpaceDE w:val="0"/>
        <w:autoSpaceDN w:val="0"/>
        <w:spacing w:line="560" w:lineRule="exact"/>
        <w:rPr>
          <w:rFonts w:ascii="仿宋_GB2312" w:hAnsi="仿宋_GB2312" w:eastAsia="仿宋_GB2312" w:cs="仿宋_GB2312"/>
          <w:color w:val="000000"/>
          <w:sz w:val="32"/>
          <w:szCs w:val="32"/>
          <w:highlight w:val="none"/>
        </w:rPr>
      </w:pPr>
      <w:r>
        <w:rPr>
          <w:rFonts w:hint="eastAsia" w:ascii="仿宋_GB2312" w:hAnsi="仿宋_GB2312" w:eastAsia="仿宋_GB2312" w:cs="仿宋_GB2312"/>
          <w:i/>
          <w:color w:val="000000"/>
          <w:sz w:val="32"/>
          <w:szCs w:val="32"/>
          <w:highlight w:val="none"/>
          <w:u w:val="single"/>
        </w:rPr>
        <w:t>以下为盖章页，无正文。</w:t>
      </w:r>
    </w:p>
    <w:p>
      <w:pPr>
        <w:spacing w:line="440" w:lineRule="exact"/>
        <w:rPr>
          <w:rFonts w:ascii="仿宋_GB2312" w:hAnsi="仿宋_GB2312" w:eastAsia="仿宋_GB2312" w:cs="仿宋_GB2312"/>
          <w:b/>
          <w:color w:val="000000"/>
          <w:sz w:val="32"/>
          <w:szCs w:val="32"/>
          <w:highlight w:val="none"/>
        </w:rPr>
      </w:pPr>
      <w:r>
        <w:rPr>
          <w:rFonts w:ascii="仿宋_GB2312" w:hAnsi="仿宋_GB2312" w:eastAsia="仿宋_GB2312" w:cs="仿宋_GB2312"/>
          <w:b/>
          <w:color w:val="000000"/>
          <w:sz w:val="32"/>
          <w:szCs w:val="32"/>
          <w:highlight w:val="none"/>
        </w:rPr>
        <w:br w:type="page"/>
      </w:r>
    </w:p>
    <w:p>
      <w:pPr>
        <w:spacing w:line="440" w:lineRule="exact"/>
        <w:ind w:left="964" w:hanging="964" w:hangingChars="300"/>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 xml:space="preserve">甲方（盖章）： </w:t>
      </w:r>
    </w:p>
    <w:p>
      <w:pPr>
        <w:spacing w:line="440" w:lineRule="exact"/>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法定代表人：</w:t>
      </w:r>
      <w:r>
        <w:rPr>
          <w:rFonts w:hint="eastAsia" w:ascii="仿宋_GB2312" w:hAnsi="仿宋_GB2312" w:eastAsia="仿宋_GB2312" w:cs="仿宋_GB2312"/>
          <w:b/>
          <w:color w:val="000000"/>
          <w:sz w:val="32"/>
          <w:szCs w:val="32"/>
          <w:highlight w:val="none"/>
          <w:u w:val="single"/>
        </w:rPr>
        <w:t xml:space="preserve">                        </w:t>
      </w:r>
      <w:r>
        <w:rPr>
          <w:rFonts w:hint="eastAsia" w:ascii="仿宋_GB2312" w:hAnsi="仿宋_GB2312" w:eastAsia="仿宋_GB2312" w:cs="仿宋_GB2312"/>
          <w:b/>
          <w:color w:val="000000"/>
          <w:sz w:val="32"/>
          <w:szCs w:val="32"/>
          <w:highlight w:val="none"/>
        </w:rPr>
        <w:t xml:space="preserve">      </w:t>
      </w:r>
    </w:p>
    <w:p>
      <w:pPr>
        <w:spacing w:line="440" w:lineRule="exact"/>
        <w:rPr>
          <w:rFonts w:ascii="仿宋_GB2312" w:hAnsi="仿宋_GB2312" w:eastAsia="仿宋_GB2312" w:cs="仿宋_GB2312"/>
          <w:b/>
          <w:color w:val="000000"/>
          <w:sz w:val="32"/>
          <w:szCs w:val="32"/>
          <w:highlight w:val="none"/>
        </w:rPr>
      </w:pPr>
    </w:p>
    <w:p>
      <w:pPr>
        <w:spacing w:line="440" w:lineRule="exact"/>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委托代理人：</w:t>
      </w:r>
      <w:r>
        <w:rPr>
          <w:rFonts w:hint="eastAsia" w:ascii="仿宋_GB2312" w:hAnsi="仿宋_GB2312" w:eastAsia="仿宋_GB2312" w:cs="仿宋_GB2312"/>
          <w:b/>
          <w:color w:val="000000"/>
          <w:sz w:val="32"/>
          <w:szCs w:val="32"/>
          <w:highlight w:val="none"/>
          <w:u w:val="single"/>
        </w:rPr>
        <w:t xml:space="preserve">                        </w:t>
      </w:r>
      <w:r>
        <w:rPr>
          <w:rFonts w:hint="eastAsia" w:ascii="仿宋_GB2312" w:hAnsi="仿宋_GB2312" w:eastAsia="仿宋_GB2312" w:cs="仿宋_GB2312"/>
          <w:b/>
          <w:color w:val="000000"/>
          <w:sz w:val="32"/>
          <w:szCs w:val="32"/>
          <w:highlight w:val="none"/>
        </w:rPr>
        <w:t xml:space="preserve">      </w:t>
      </w:r>
    </w:p>
    <w:p>
      <w:pPr>
        <w:spacing w:line="440" w:lineRule="exact"/>
        <w:rPr>
          <w:rFonts w:ascii="仿宋_GB2312" w:hAnsi="仿宋_GB2312" w:eastAsia="仿宋_GB2312" w:cs="仿宋_GB2312"/>
          <w:b/>
          <w:color w:val="000000"/>
          <w:sz w:val="32"/>
          <w:szCs w:val="32"/>
          <w:highlight w:val="none"/>
        </w:rPr>
      </w:pPr>
    </w:p>
    <w:p>
      <w:pPr>
        <w:spacing w:line="440" w:lineRule="exact"/>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 xml:space="preserve">时  </w:t>
      </w:r>
      <w:r>
        <w:rPr>
          <w:rFonts w:ascii="仿宋_GB2312" w:hAnsi="仿宋_GB2312" w:eastAsia="仿宋_GB2312" w:cs="仿宋_GB2312"/>
          <w:b/>
          <w:color w:val="000000"/>
          <w:sz w:val="32"/>
          <w:szCs w:val="32"/>
          <w:highlight w:val="none"/>
        </w:rPr>
        <w:t xml:space="preserve"> </w:t>
      </w:r>
      <w:r>
        <w:rPr>
          <w:rFonts w:hint="eastAsia" w:ascii="仿宋_GB2312" w:hAnsi="仿宋_GB2312" w:eastAsia="仿宋_GB2312" w:cs="仿宋_GB2312"/>
          <w:b/>
          <w:color w:val="000000"/>
          <w:sz w:val="32"/>
          <w:szCs w:val="32"/>
          <w:highlight w:val="none"/>
        </w:rPr>
        <w:t xml:space="preserve">   间：</w:t>
      </w:r>
    </w:p>
    <w:p>
      <w:pPr>
        <w:spacing w:line="440" w:lineRule="exact"/>
        <w:rPr>
          <w:rFonts w:ascii="仿宋_GB2312" w:hAnsi="仿宋_GB2312" w:eastAsia="仿宋_GB2312" w:cs="仿宋_GB2312"/>
          <w:color w:val="000000"/>
          <w:sz w:val="32"/>
          <w:szCs w:val="32"/>
          <w:highlight w:val="none"/>
        </w:rPr>
      </w:pPr>
    </w:p>
    <w:p>
      <w:pPr>
        <w:spacing w:line="440" w:lineRule="exact"/>
        <w:rPr>
          <w:rFonts w:ascii="仿宋_GB2312" w:hAnsi="仿宋_GB2312" w:eastAsia="仿宋_GB2312" w:cs="仿宋_GB2312"/>
          <w:color w:val="000000"/>
          <w:sz w:val="32"/>
          <w:szCs w:val="32"/>
          <w:highlight w:val="none"/>
        </w:rPr>
      </w:pPr>
    </w:p>
    <w:p>
      <w:pPr>
        <w:spacing w:line="440" w:lineRule="exact"/>
        <w:rPr>
          <w:rFonts w:ascii="仿宋_GB2312" w:hAnsi="仿宋_GB2312" w:eastAsia="仿宋_GB2312" w:cs="仿宋_GB2312"/>
          <w:color w:val="000000"/>
          <w:sz w:val="32"/>
          <w:szCs w:val="32"/>
          <w:highlight w:val="none"/>
        </w:rPr>
      </w:pPr>
    </w:p>
    <w:p>
      <w:pPr>
        <w:spacing w:line="440" w:lineRule="exact"/>
        <w:rPr>
          <w:rFonts w:ascii="仿宋_GB2312" w:hAnsi="仿宋_GB2312" w:eastAsia="仿宋_GB2312" w:cs="仿宋_GB2312"/>
          <w:color w:val="000000"/>
          <w:sz w:val="32"/>
          <w:szCs w:val="32"/>
          <w:highlight w:val="none"/>
        </w:rPr>
      </w:pPr>
    </w:p>
    <w:p>
      <w:pPr>
        <w:spacing w:line="440" w:lineRule="exact"/>
        <w:ind w:left="643" w:hanging="643" w:hangingChars="200"/>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乙方（盖章）：</w:t>
      </w:r>
    </w:p>
    <w:p>
      <w:pPr>
        <w:spacing w:line="440" w:lineRule="exact"/>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法定代表人：</w:t>
      </w:r>
      <w:r>
        <w:rPr>
          <w:rFonts w:hint="eastAsia" w:ascii="仿宋_GB2312" w:hAnsi="仿宋_GB2312" w:eastAsia="仿宋_GB2312" w:cs="仿宋_GB2312"/>
          <w:b/>
          <w:color w:val="000000"/>
          <w:sz w:val="32"/>
          <w:szCs w:val="32"/>
          <w:highlight w:val="none"/>
          <w:u w:val="single"/>
        </w:rPr>
        <w:t xml:space="preserve">                        </w:t>
      </w:r>
      <w:r>
        <w:rPr>
          <w:rFonts w:hint="eastAsia" w:ascii="仿宋_GB2312" w:hAnsi="仿宋_GB2312" w:eastAsia="仿宋_GB2312" w:cs="仿宋_GB2312"/>
          <w:b/>
          <w:color w:val="000000"/>
          <w:sz w:val="32"/>
          <w:szCs w:val="32"/>
          <w:highlight w:val="none"/>
        </w:rPr>
        <w:t xml:space="preserve">      </w:t>
      </w:r>
    </w:p>
    <w:p>
      <w:pPr>
        <w:spacing w:line="440" w:lineRule="exact"/>
        <w:rPr>
          <w:rFonts w:ascii="仿宋_GB2312" w:hAnsi="仿宋_GB2312" w:eastAsia="仿宋_GB2312" w:cs="仿宋_GB2312"/>
          <w:b/>
          <w:color w:val="000000"/>
          <w:sz w:val="32"/>
          <w:szCs w:val="32"/>
          <w:highlight w:val="none"/>
        </w:rPr>
      </w:pPr>
    </w:p>
    <w:p>
      <w:pPr>
        <w:spacing w:line="440" w:lineRule="exact"/>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委托代理人：</w:t>
      </w:r>
      <w:r>
        <w:rPr>
          <w:rFonts w:hint="eastAsia" w:ascii="仿宋_GB2312" w:hAnsi="仿宋_GB2312" w:eastAsia="仿宋_GB2312" w:cs="仿宋_GB2312"/>
          <w:b/>
          <w:color w:val="000000"/>
          <w:sz w:val="32"/>
          <w:szCs w:val="32"/>
          <w:highlight w:val="none"/>
          <w:u w:val="single"/>
        </w:rPr>
        <w:t xml:space="preserve">                        </w:t>
      </w:r>
      <w:r>
        <w:rPr>
          <w:rFonts w:hint="eastAsia" w:ascii="仿宋_GB2312" w:hAnsi="仿宋_GB2312" w:eastAsia="仿宋_GB2312" w:cs="仿宋_GB2312"/>
          <w:b/>
          <w:color w:val="000000"/>
          <w:sz w:val="32"/>
          <w:szCs w:val="32"/>
          <w:highlight w:val="none"/>
        </w:rPr>
        <w:t xml:space="preserve">      </w:t>
      </w:r>
    </w:p>
    <w:p>
      <w:pPr>
        <w:spacing w:line="440" w:lineRule="exact"/>
        <w:rPr>
          <w:rFonts w:ascii="仿宋_GB2312" w:hAnsi="仿宋_GB2312" w:eastAsia="仿宋_GB2312" w:cs="仿宋_GB2312"/>
          <w:b/>
          <w:color w:val="000000"/>
          <w:sz w:val="32"/>
          <w:szCs w:val="32"/>
          <w:highlight w:val="none"/>
        </w:rPr>
      </w:pPr>
    </w:p>
    <w:p>
      <w:pPr>
        <w:spacing w:line="440" w:lineRule="exact"/>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 xml:space="preserve">时  </w:t>
      </w:r>
      <w:r>
        <w:rPr>
          <w:rFonts w:ascii="仿宋_GB2312" w:hAnsi="仿宋_GB2312" w:eastAsia="仿宋_GB2312" w:cs="仿宋_GB2312"/>
          <w:b/>
          <w:color w:val="000000"/>
          <w:sz w:val="32"/>
          <w:szCs w:val="32"/>
          <w:highlight w:val="none"/>
        </w:rPr>
        <w:t xml:space="preserve"> </w:t>
      </w:r>
      <w:r>
        <w:rPr>
          <w:rFonts w:hint="eastAsia" w:ascii="仿宋_GB2312" w:hAnsi="仿宋_GB2312" w:eastAsia="仿宋_GB2312" w:cs="仿宋_GB2312"/>
          <w:b/>
          <w:color w:val="000000"/>
          <w:sz w:val="32"/>
          <w:szCs w:val="32"/>
          <w:highlight w:val="none"/>
        </w:rPr>
        <w:t xml:space="preserve">   间：</w:t>
      </w:r>
    </w:p>
    <w:p>
      <w:pPr>
        <w:spacing w:line="440" w:lineRule="exact"/>
        <w:rPr>
          <w:rFonts w:ascii="仿宋_GB2312" w:hAnsi="仿宋_GB2312" w:eastAsia="仿宋_GB2312" w:cs="仿宋_GB2312"/>
          <w:b/>
          <w:color w:val="000000"/>
          <w:sz w:val="32"/>
          <w:szCs w:val="32"/>
          <w:highlight w:val="none"/>
        </w:rPr>
      </w:pPr>
    </w:p>
    <w:p>
      <w:pPr>
        <w:spacing w:line="440" w:lineRule="exact"/>
        <w:ind w:firstLine="640" w:firstLineChars="200"/>
        <w:rPr>
          <w:rFonts w:ascii="仿宋_GB2312" w:hAnsi="仿宋_GB2312" w:eastAsia="仿宋_GB2312" w:cs="仿宋_GB2312"/>
          <w:color w:val="000000"/>
          <w:sz w:val="32"/>
          <w:szCs w:val="32"/>
          <w:highlight w:val="none"/>
        </w:rPr>
      </w:pPr>
    </w:p>
    <w:p>
      <w:pPr>
        <w:spacing w:line="440" w:lineRule="exact"/>
        <w:ind w:firstLine="640" w:firstLineChars="200"/>
        <w:rPr>
          <w:rFonts w:ascii="仿宋_GB2312" w:hAnsi="仿宋_GB2312" w:eastAsia="仿宋_GB2312" w:cs="仿宋_GB2312"/>
          <w:color w:val="000000"/>
          <w:sz w:val="32"/>
          <w:szCs w:val="32"/>
          <w:highlight w:val="none"/>
        </w:rPr>
      </w:pPr>
    </w:p>
    <w:sectPr>
      <w:headerReference r:id="rId5" w:type="default"/>
      <w:footerReference r:id="rId6" w:type="default"/>
      <w:pgSz w:w="11906" w:h="16838"/>
      <w:pgMar w:top="1440" w:right="1418" w:bottom="1538" w:left="1418"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x-lawyer" w:date="2020-12-23T11:34:00Z" w:initials="">
    <w:p w14:paraId="30D63895">
      <w:pPr>
        <w:pStyle w:val="5"/>
      </w:pPr>
      <w:r>
        <w:rPr>
          <w:rFonts w:hint="eastAsia"/>
        </w:rPr>
        <w:t>只需要申报时有效的凭证，还是要跟营收挂钩，近三年的凭证？以证明企业是在经过备案许可的情况下获得营收。</w:t>
      </w:r>
    </w:p>
  </w:comment>
  <w:comment w:id="1" w:author="zx-lawyer" w:date="2020-12-23T10:11:00Z" w:initials="">
    <w:p w14:paraId="4ECA7106">
      <w:pPr>
        <w:pStyle w:val="5"/>
      </w:pPr>
      <w:r>
        <w:rPr>
          <w:rFonts w:hint="eastAsia"/>
        </w:rPr>
        <w:t>建议放到第二条申报材料，作为第二款。</w:t>
      </w:r>
    </w:p>
  </w:comment>
  <w:comment w:id="2" w:author="zx-lawyer" w:date="2020-12-23T10:12:00Z" w:initials="">
    <w:p w14:paraId="64B74EF6">
      <w:pPr>
        <w:pStyle w:val="5"/>
      </w:pPr>
      <w:r>
        <w:rPr>
          <w:rFonts w:hint="eastAsia"/>
        </w:rPr>
        <w:t>统一为申报主体或申请企业。</w:t>
      </w:r>
    </w:p>
  </w:comment>
  <w:comment w:id="3" w:author="zx-lawyer" w:date="2020-12-23T10:56:00Z" w:initials="">
    <w:p w14:paraId="35CE7894">
      <w:pPr>
        <w:pStyle w:val="5"/>
      </w:pPr>
      <w:r>
        <w:rPr>
          <w:rFonts w:hint="eastAsia"/>
        </w:rPr>
        <w:t>建议明确报送单位。</w:t>
      </w:r>
    </w:p>
  </w:comment>
  <w:comment w:id="4" w:author="zx-lawyer" w:date="2020-12-23T15:17:00Z" w:initials="">
    <w:p w14:paraId="3DCE6B22">
      <w:pPr>
        <w:pStyle w:val="5"/>
      </w:pPr>
      <w:r>
        <w:rPr>
          <w:rFonts w:hint="eastAsia"/>
        </w:rPr>
        <w:t>此处的年营业额是否指人力资源服务的营业额，建议可以对本操作规程中的营业额进行明确以区分。</w:t>
      </w:r>
    </w:p>
  </w:comment>
  <w:comment w:id="5" w:author="zx-lawyer" w:date="2020-12-23T16:49:00Z" w:initials="">
    <w:p w14:paraId="0E2A00C3">
      <w:pPr>
        <w:pStyle w:val="5"/>
      </w:pPr>
      <w:r>
        <w:rPr>
          <w:rFonts w:hint="eastAsia"/>
        </w:rPr>
        <w:t>该项材料在第二章的基本材料中已经作出要求，建议可以删改。</w:t>
      </w:r>
    </w:p>
  </w:comment>
  <w:comment w:id="6" w:author="zx-lawyer" w:date="2020-12-23T17:01:00Z" w:initials="">
    <w:p w14:paraId="59460D8F">
      <w:pPr>
        <w:pStyle w:val="5"/>
      </w:pPr>
      <w:r>
        <w:rPr>
          <w:rFonts w:hint="eastAsia"/>
        </w:rPr>
        <w:t>“不含代收代支”已经在附则中明确，可以删除。</w:t>
      </w:r>
    </w:p>
  </w:comment>
  <w:comment w:id="7" w:author="zx-lawyer" w:date="2020-12-23T16:08:00Z" w:initials="">
    <w:p w14:paraId="4491165E">
      <w:pPr>
        <w:pStyle w:val="5"/>
      </w:pPr>
      <w:r>
        <w:rPr>
          <w:rFonts w:hint="eastAsia"/>
        </w:rPr>
        <w:t>建议删除“首次”，对于上年度1月1日后退出有再次纳入的情况已经由第二项进行排除。保留“首次”可能产生歧义。</w:t>
      </w:r>
    </w:p>
  </w:comment>
  <w:comment w:id="8" w:author="zx-lawyer" w:date="2020-12-23T16:28:00Z" w:initials="">
    <w:p w14:paraId="208F76F3">
      <w:pPr>
        <w:pStyle w:val="5"/>
      </w:pPr>
      <w:r>
        <w:rPr>
          <w:rFonts w:hint="eastAsia"/>
        </w:rPr>
        <w:t>存在歧义，可删除。仅面向宝安区入库企业的含义已经通过前半句表述明确。</w:t>
      </w:r>
    </w:p>
  </w:comment>
  <w:comment w:id="9" w:author="zx-lawyer" w:date="2020-12-23T17:05:00Z" w:initials="">
    <w:p w14:paraId="5E0B3A67">
      <w:pPr>
        <w:pStyle w:val="5"/>
      </w:pPr>
      <w:r>
        <w:rPr>
          <w:rFonts w:hint="eastAsia"/>
        </w:rPr>
        <w:t>可以作为附则第二条，与第一条进行衔接。</w:t>
      </w:r>
    </w:p>
  </w:comment>
  <w:comment w:id="10" w:author="zx-lawyer" w:date="2020-12-23T17:08:00Z" w:initials="">
    <w:p w14:paraId="120E4006">
      <w:pPr>
        <w:pStyle w:val="5"/>
      </w:pPr>
      <w:r>
        <w:rPr>
          <w:rFonts w:hint="eastAsia"/>
        </w:rPr>
        <w:t>建议明确为建筑面积、使用面积还是计租面积。</w:t>
      </w:r>
    </w:p>
  </w:comment>
  <w:comment w:id="11" w:author="zx-lawyer" w:date="2020-12-23T17:09:00Z" w:initials="">
    <w:p w14:paraId="264957FE">
      <w:pPr>
        <w:pStyle w:val="5"/>
      </w:pPr>
      <w:r>
        <w:rPr>
          <w:rFonts w:hint="eastAsia"/>
        </w:rPr>
        <w:t>如使用银行转账支付，建议可以由申报企业自行修改为收款账号、流水号之类的信息。</w:t>
      </w:r>
    </w:p>
  </w:comment>
  <w:comment w:id="12" w:author="zx-lawyer" w:date="2020-12-23T17:20:00Z" w:initials="">
    <w:p w14:paraId="02131E89">
      <w:pPr>
        <w:pStyle w:val="5"/>
      </w:pPr>
      <w:r>
        <w:rPr>
          <w:rFonts w:hint="eastAsia"/>
        </w:rPr>
        <w:t>按照我所为其他行政单位服务的经验，结合本规程实际情况，因办公用房购置补贴的协议履行问题产生纠纷，因补贴本身属于行政补贴，法院一般不作为民事诉讼案件受理。如出现申请企业违约的情况，应当通过行政手段追回，如发出退还补贴决定书，企业不履行的情况下，直接申请法院强制执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0D63895" w15:done="0"/>
  <w15:commentEx w15:paraId="4ECA7106" w15:done="0"/>
  <w15:commentEx w15:paraId="64B74EF6" w15:done="0"/>
  <w15:commentEx w15:paraId="35CE7894" w15:done="0"/>
  <w15:commentEx w15:paraId="3DCE6B22" w15:done="0"/>
  <w15:commentEx w15:paraId="0E2A00C3" w15:done="0"/>
  <w15:commentEx w15:paraId="59460D8F" w15:done="0"/>
  <w15:commentEx w15:paraId="4491165E" w15:done="0"/>
  <w15:commentEx w15:paraId="208F76F3" w15:done="0"/>
  <w15:commentEx w15:paraId="5E0B3A67" w15:done="0"/>
  <w15:commentEx w15:paraId="120E4006" w15:done="0"/>
  <w15:commentEx w15:paraId="264957FE" w15:done="0"/>
  <w15:commentEx w15:paraId="02131E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651164"/>
    </w:sdtPr>
    <w:sdtContent>
      <w:p>
        <w:pPr>
          <w:pStyle w:val="9"/>
          <w:jc w:val="center"/>
        </w:pPr>
        <w:r>
          <w:fldChar w:fldCharType="begin"/>
        </w:r>
        <w:r>
          <w:instrText xml:space="preserve">PAGE   \* MERGEFORMAT</w:instrText>
        </w:r>
        <w:r>
          <w:fldChar w:fldCharType="separate"/>
        </w:r>
        <w:r>
          <w:rPr>
            <w:lang w:val="zh-CN"/>
          </w:rPr>
          <w:t>30</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EFB0E"/>
    <w:multiLevelType w:val="singleLevel"/>
    <w:tmpl w:val="63BEFB0E"/>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x-lawyer">
    <w15:presenceInfo w15:providerId="None" w15:userId="zx-law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959"/>
    <w:rsid w:val="000155EA"/>
    <w:rsid w:val="00046414"/>
    <w:rsid w:val="00131D94"/>
    <w:rsid w:val="00140204"/>
    <w:rsid w:val="001536B2"/>
    <w:rsid w:val="001A1CEA"/>
    <w:rsid w:val="001A4BC8"/>
    <w:rsid w:val="0022746F"/>
    <w:rsid w:val="00231A90"/>
    <w:rsid w:val="00241906"/>
    <w:rsid w:val="0024781F"/>
    <w:rsid w:val="002774C8"/>
    <w:rsid w:val="002B29BF"/>
    <w:rsid w:val="0030183D"/>
    <w:rsid w:val="003437B2"/>
    <w:rsid w:val="003C6641"/>
    <w:rsid w:val="00401D60"/>
    <w:rsid w:val="004029C4"/>
    <w:rsid w:val="00411647"/>
    <w:rsid w:val="00420D1C"/>
    <w:rsid w:val="00484792"/>
    <w:rsid w:val="004F267A"/>
    <w:rsid w:val="005027D9"/>
    <w:rsid w:val="00536380"/>
    <w:rsid w:val="00550959"/>
    <w:rsid w:val="00590629"/>
    <w:rsid w:val="005A6C52"/>
    <w:rsid w:val="005D3066"/>
    <w:rsid w:val="005D67C2"/>
    <w:rsid w:val="006A0A05"/>
    <w:rsid w:val="00715A50"/>
    <w:rsid w:val="00734AD0"/>
    <w:rsid w:val="00760737"/>
    <w:rsid w:val="007969A7"/>
    <w:rsid w:val="007B32C5"/>
    <w:rsid w:val="008A7D88"/>
    <w:rsid w:val="008B2269"/>
    <w:rsid w:val="008C586D"/>
    <w:rsid w:val="008C6558"/>
    <w:rsid w:val="008D783D"/>
    <w:rsid w:val="008F08A2"/>
    <w:rsid w:val="00907DE4"/>
    <w:rsid w:val="00960BF6"/>
    <w:rsid w:val="0097512C"/>
    <w:rsid w:val="009A792A"/>
    <w:rsid w:val="009C04E9"/>
    <w:rsid w:val="00A86DA3"/>
    <w:rsid w:val="00AF2811"/>
    <w:rsid w:val="00B56616"/>
    <w:rsid w:val="00B57400"/>
    <w:rsid w:val="00BD023A"/>
    <w:rsid w:val="00C16B0C"/>
    <w:rsid w:val="00C67D17"/>
    <w:rsid w:val="00CA0314"/>
    <w:rsid w:val="00CB1436"/>
    <w:rsid w:val="00D40FA2"/>
    <w:rsid w:val="00D56EC4"/>
    <w:rsid w:val="00D620AA"/>
    <w:rsid w:val="00D75FBA"/>
    <w:rsid w:val="00D85C4A"/>
    <w:rsid w:val="00DA3121"/>
    <w:rsid w:val="00DA3AD7"/>
    <w:rsid w:val="00E10EF3"/>
    <w:rsid w:val="00E24717"/>
    <w:rsid w:val="00E35B36"/>
    <w:rsid w:val="00E70861"/>
    <w:rsid w:val="00EE167A"/>
    <w:rsid w:val="00F07BA1"/>
    <w:rsid w:val="00F1445C"/>
    <w:rsid w:val="00F34BCA"/>
    <w:rsid w:val="00F51FA9"/>
    <w:rsid w:val="00F56200"/>
    <w:rsid w:val="00F62A9D"/>
    <w:rsid w:val="00F945BC"/>
    <w:rsid w:val="00FC01CA"/>
    <w:rsid w:val="017725ED"/>
    <w:rsid w:val="017C5BD9"/>
    <w:rsid w:val="01B7361C"/>
    <w:rsid w:val="028031DC"/>
    <w:rsid w:val="02B97735"/>
    <w:rsid w:val="03196435"/>
    <w:rsid w:val="03513928"/>
    <w:rsid w:val="03E344D2"/>
    <w:rsid w:val="048C3A30"/>
    <w:rsid w:val="04D84DA7"/>
    <w:rsid w:val="04E31210"/>
    <w:rsid w:val="054712F1"/>
    <w:rsid w:val="054C3CE1"/>
    <w:rsid w:val="0659462C"/>
    <w:rsid w:val="069F0A81"/>
    <w:rsid w:val="06AB1312"/>
    <w:rsid w:val="06D005D0"/>
    <w:rsid w:val="06F0444A"/>
    <w:rsid w:val="0866325D"/>
    <w:rsid w:val="091B697D"/>
    <w:rsid w:val="096515D8"/>
    <w:rsid w:val="09BD5137"/>
    <w:rsid w:val="0A1C343E"/>
    <w:rsid w:val="0C4C4371"/>
    <w:rsid w:val="0D2439FA"/>
    <w:rsid w:val="0DE422FA"/>
    <w:rsid w:val="0E6D2C14"/>
    <w:rsid w:val="0E6F62CB"/>
    <w:rsid w:val="0F041FD6"/>
    <w:rsid w:val="0F1C2D80"/>
    <w:rsid w:val="0F960BF6"/>
    <w:rsid w:val="10483305"/>
    <w:rsid w:val="10667AA8"/>
    <w:rsid w:val="107A4A2B"/>
    <w:rsid w:val="111217D1"/>
    <w:rsid w:val="11B24BCA"/>
    <w:rsid w:val="11B804B8"/>
    <w:rsid w:val="11D74EB8"/>
    <w:rsid w:val="11E769E4"/>
    <w:rsid w:val="120A5054"/>
    <w:rsid w:val="12330596"/>
    <w:rsid w:val="123A74BE"/>
    <w:rsid w:val="126E2C35"/>
    <w:rsid w:val="12AA5346"/>
    <w:rsid w:val="12F52FDB"/>
    <w:rsid w:val="133301F2"/>
    <w:rsid w:val="136A485C"/>
    <w:rsid w:val="13AF118D"/>
    <w:rsid w:val="13D65444"/>
    <w:rsid w:val="13FC285D"/>
    <w:rsid w:val="14483CDA"/>
    <w:rsid w:val="146946A1"/>
    <w:rsid w:val="14B25720"/>
    <w:rsid w:val="15106A8C"/>
    <w:rsid w:val="153A6E2E"/>
    <w:rsid w:val="153C00F6"/>
    <w:rsid w:val="15762272"/>
    <w:rsid w:val="15961E76"/>
    <w:rsid w:val="15A47985"/>
    <w:rsid w:val="15B55D5C"/>
    <w:rsid w:val="16310638"/>
    <w:rsid w:val="163C0724"/>
    <w:rsid w:val="16E07E59"/>
    <w:rsid w:val="171270CC"/>
    <w:rsid w:val="1732482E"/>
    <w:rsid w:val="17706206"/>
    <w:rsid w:val="17840F3B"/>
    <w:rsid w:val="17A86CF9"/>
    <w:rsid w:val="183F56FA"/>
    <w:rsid w:val="18912E9D"/>
    <w:rsid w:val="18D643BC"/>
    <w:rsid w:val="198B5AA7"/>
    <w:rsid w:val="19CF5C57"/>
    <w:rsid w:val="1A093730"/>
    <w:rsid w:val="1A6627AE"/>
    <w:rsid w:val="1ABE6FAF"/>
    <w:rsid w:val="1AD13D9D"/>
    <w:rsid w:val="1B16773F"/>
    <w:rsid w:val="1B172BE7"/>
    <w:rsid w:val="1B4E4431"/>
    <w:rsid w:val="1BEC0CA4"/>
    <w:rsid w:val="1C015D0D"/>
    <w:rsid w:val="1C165EB1"/>
    <w:rsid w:val="1C267AD4"/>
    <w:rsid w:val="1C557145"/>
    <w:rsid w:val="1C9D1A04"/>
    <w:rsid w:val="1D683EBB"/>
    <w:rsid w:val="1D9B3621"/>
    <w:rsid w:val="1DD04BDD"/>
    <w:rsid w:val="1DFC669F"/>
    <w:rsid w:val="1F1D7058"/>
    <w:rsid w:val="1FCC4EC8"/>
    <w:rsid w:val="20041D34"/>
    <w:rsid w:val="202C2057"/>
    <w:rsid w:val="211950D9"/>
    <w:rsid w:val="2120415C"/>
    <w:rsid w:val="214B08AF"/>
    <w:rsid w:val="21671D95"/>
    <w:rsid w:val="21913BA6"/>
    <w:rsid w:val="221B653A"/>
    <w:rsid w:val="22297FFA"/>
    <w:rsid w:val="22D44362"/>
    <w:rsid w:val="23316176"/>
    <w:rsid w:val="233F3086"/>
    <w:rsid w:val="234C56EF"/>
    <w:rsid w:val="23892407"/>
    <w:rsid w:val="24005574"/>
    <w:rsid w:val="24577869"/>
    <w:rsid w:val="245E6B4B"/>
    <w:rsid w:val="24773AF1"/>
    <w:rsid w:val="25031ED2"/>
    <w:rsid w:val="254A5DB3"/>
    <w:rsid w:val="25FA264D"/>
    <w:rsid w:val="262B35D5"/>
    <w:rsid w:val="26301A69"/>
    <w:rsid w:val="2634745D"/>
    <w:rsid w:val="264A3081"/>
    <w:rsid w:val="26993872"/>
    <w:rsid w:val="269D4779"/>
    <w:rsid w:val="26A27CDA"/>
    <w:rsid w:val="26B2426E"/>
    <w:rsid w:val="26B74B03"/>
    <w:rsid w:val="26C11D15"/>
    <w:rsid w:val="27F165F1"/>
    <w:rsid w:val="27FD2A86"/>
    <w:rsid w:val="28030473"/>
    <w:rsid w:val="28480593"/>
    <w:rsid w:val="286E76A8"/>
    <w:rsid w:val="2870191E"/>
    <w:rsid w:val="28D772BA"/>
    <w:rsid w:val="29E67EA0"/>
    <w:rsid w:val="2A484589"/>
    <w:rsid w:val="2A5C3A9D"/>
    <w:rsid w:val="2A657555"/>
    <w:rsid w:val="2A816E06"/>
    <w:rsid w:val="2A932ED9"/>
    <w:rsid w:val="2B0230B4"/>
    <w:rsid w:val="2B276742"/>
    <w:rsid w:val="2B803DBE"/>
    <w:rsid w:val="2BA17672"/>
    <w:rsid w:val="2C672058"/>
    <w:rsid w:val="2CA762A3"/>
    <w:rsid w:val="2CEA22EB"/>
    <w:rsid w:val="2CFA5EA5"/>
    <w:rsid w:val="2D081939"/>
    <w:rsid w:val="2D610F9D"/>
    <w:rsid w:val="2D6820DF"/>
    <w:rsid w:val="2D9778A6"/>
    <w:rsid w:val="2DF74531"/>
    <w:rsid w:val="2E5222E0"/>
    <w:rsid w:val="2EC0505E"/>
    <w:rsid w:val="2EF11C56"/>
    <w:rsid w:val="2F085872"/>
    <w:rsid w:val="2F8A16F6"/>
    <w:rsid w:val="309E7B88"/>
    <w:rsid w:val="30A12E9C"/>
    <w:rsid w:val="30F76861"/>
    <w:rsid w:val="30FD5E7E"/>
    <w:rsid w:val="310D0C17"/>
    <w:rsid w:val="313B473E"/>
    <w:rsid w:val="31CD0A21"/>
    <w:rsid w:val="32D15B05"/>
    <w:rsid w:val="339A3E3C"/>
    <w:rsid w:val="34050944"/>
    <w:rsid w:val="342A4035"/>
    <w:rsid w:val="348A422E"/>
    <w:rsid w:val="34CE14E1"/>
    <w:rsid w:val="350E59AA"/>
    <w:rsid w:val="351066B2"/>
    <w:rsid w:val="351D3E15"/>
    <w:rsid w:val="352E1BF6"/>
    <w:rsid w:val="365F6492"/>
    <w:rsid w:val="36783A80"/>
    <w:rsid w:val="36D93A4A"/>
    <w:rsid w:val="36FB0321"/>
    <w:rsid w:val="37594623"/>
    <w:rsid w:val="388B7E6A"/>
    <w:rsid w:val="391C4D80"/>
    <w:rsid w:val="39373807"/>
    <w:rsid w:val="394F47AB"/>
    <w:rsid w:val="39891AF1"/>
    <w:rsid w:val="39AA0B74"/>
    <w:rsid w:val="39EE5039"/>
    <w:rsid w:val="39F87F08"/>
    <w:rsid w:val="3A8B51D0"/>
    <w:rsid w:val="3AF071E7"/>
    <w:rsid w:val="3B8B54FC"/>
    <w:rsid w:val="3CBE436F"/>
    <w:rsid w:val="3DD44069"/>
    <w:rsid w:val="3E3F4C7F"/>
    <w:rsid w:val="3E481C82"/>
    <w:rsid w:val="3EBA2D81"/>
    <w:rsid w:val="3F2A7A22"/>
    <w:rsid w:val="3F7F50AA"/>
    <w:rsid w:val="3FAD263E"/>
    <w:rsid w:val="3FC92498"/>
    <w:rsid w:val="401D39AE"/>
    <w:rsid w:val="40770752"/>
    <w:rsid w:val="40815DB1"/>
    <w:rsid w:val="41C22A46"/>
    <w:rsid w:val="4226419A"/>
    <w:rsid w:val="4237441F"/>
    <w:rsid w:val="42551ECF"/>
    <w:rsid w:val="427A7768"/>
    <w:rsid w:val="437115A1"/>
    <w:rsid w:val="43DF093C"/>
    <w:rsid w:val="446A3083"/>
    <w:rsid w:val="44B357D3"/>
    <w:rsid w:val="44FF685E"/>
    <w:rsid w:val="452465E9"/>
    <w:rsid w:val="45DC30B7"/>
    <w:rsid w:val="45EE5690"/>
    <w:rsid w:val="468B1EB5"/>
    <w:rsid w:val="46B500C4"/>
    <w:rsid w:val="46E84A6E"/>
    <w:rsid w:val="472D07ED"/>
    <w:rsid w:val="474C4346"/>
    <w:rsid w:val="475F7B1A"/>
    <w:rsid w:val="47EA07A2"/>
    <w:rsid w:val="481E1B68"/>
    <w:rsid w:val="48295641"/>
    <w:rsid w:val="48C33A93"/>
    <w:rsid w:val="48C71B4E"/>
    <w:rsid w:val="49474C0F"/>
    <w:rsid w:val="494F49CE"/>
    <w:rsid w:val="4A017CE5"/>
    <w:rsid w:val="4B1D29D9"/>
    <w:rsid w:val="4BA1557F"/>
    <w:rsid w:val="4BA260B0"/>
    <w:rsid w:val="4C467D30"/>
    <w:rsid w:val="4C4F7F9A"/>
    <w:rsid w:val="4CD80DAC"/>
    <w:rsid w:val="4CF2456A"/>
    <w:rsid w:val="4D5332B9"/>
    <w:rsid w:val="4DE96E87"/>
    <w:rsid w:val="4E282CD4"/>
    <w:rsid w:val="4E456D53"/>
    <w:rsid w:val="4E4C65DE"/>
    <w:rsid w:val="4EE67053"/>
    <w:rsid w:val="4F352D17"/>
    <w:rsid w:val="4FA64B40"/>
    <w:rsid w:val="4FC665DA"/>
    <w:rsid w:val="502F3018"/>
    <w:rsid w:val="505664BA"/>
    <w:rsid w:val="50824C13"/>
    <w:rsid w:val="51026501"/>
    <w:rsid w:val="517E4946"/>
    <w:rsid w:val="51CC6492"/>
    <w:rsid w:val="520D5144"/>
    <w:rsid w:val="521D6315"/>
    <w:rsid w:val="52693C23"/>
    <w:rsid w:val="52F065C5"/>
    <w:rsid w:val="5389630B"/>
    <w:rsid w:val="53896F14"/>
    <w:rsid w:val="53976B84"/>
    <w:rsid w:val="53B94FE0"/>
    <w:rsid w:val="53D352D5"/>
    <w:rsid w:val="53F439AA"/>
    <w:rsid w:val="54032A24"/>
    <w:rsid w:val="549758C5"/>
    <w:rsid w:val="54BF73D5"/>
    <w:rsid w:val="553A2797"/>
    <w:rsid w:val="554D1E55"/>
    <w:rsid w:val="55F67E28"/>
    <w:rsid w:val="56B8124A"/>
    <w:rsid w:val="56D17116"/>
    <w:rsid w:val="56FA2A96"/>
    <w:rsid w:val="57416678"/>
    <w:rsid w:val="57534AFA"/>
    <w:rsid w:val="5768297E"/>
    <w:rsid w:val="580B1B33"/>
    <w:rsid w:val="581177CD"/>
    <w:rsid w:val="588C1203"/>
    <w:rsid w:val="590B55F3"/>
    <w:rsid w:val="593F78D3"/>
    <w:rsid w:val="594076C4"/>
    <w:rsid w:val="594704E4"/>
    <w:rsid w:val="59552FF7"/>
    <w:rsid w:val="5A213574"/>
    <w:rsid w:val="5A5455D4"/>
    <w:rsid w:val="5AFC2DDC"/>
    <w:rsid w:val="5B220001"/>
    <w:rsid w:val="5B446EEC"/>
    <w:rsid w:val="5BCA5A36"/>
    <w:rsid w:val="5C184601"/>
    <w:rsid w:val="5C1A5301"/>
    <w:rsid w:val="5C9A616A"/>
    <w:rsid w:val="5CA0589B"/>
    <w:rsid w:val="5CA05AD7"/>
    <w:rsid w:val="5D916463"/>
    <w:rsid w:val="5E0B7AA7"/>
    <w:rsid w:val="5E9E3384"/>
    <w:rsid w:val="5EB447E9"/>
    <w:rsid w:val="5EE91182"/>
    <w:rsid w:val="5F1377A1"/>
    <w:rsid w:val="5F1C4AE1"/>
    <w:rsid w:val="5F863B98"/>
    <w:rsid w:val="5F9439B7"/>
    <w:rsid w:val="5FA0220E"/>
    <w:rsid w:val="60104BF0"/>
    <w:rsid w:val="604C5A9F"/>
    <w:rsid w:val="609D2E0A"/>
    <w:rsid w:val="60C21996"/>
    <w:rsid w:val="610601E8"/>
    <w:rsid w:val="611F1F9B"/>
    <w:rsid w:val="61854C8A"/>
    <w:rsid w:val="61946F16"/>
    <w:rsid w:val="625436AB"/>
    <w:rsid w:val="62646126"/>
    <w:rsid w:val="62685915"/>
    <w:rsid w:val="630168DB"/>
    <w:rsid w:val="638272B5"/>
    <w:rsid w:val="63CE3D9E"/>
    <w:rsid w:val="63FA25F2"/>
    <w:rsid w:val="64484A80"/>
    <w:rsid w:val="64F52E3F"/>
    <w:rsid w:val="658B1E9C"/>
    <w:rsid w:val="65C04BB1"/>
    <w:rsid w:val="65D25D6A"/>
    <w:rsid w:val="65F442B3"/>
    <w:rsid w:val="666C1277"/>
    <w:rsid w:val="66D54E19"/>
    <w:rsid w:val="672F095B"/>
    <w:rsid w:val="67B23E65"/>
    <w:rsid w:val="67D804F3"/>
    <w:rsid w:val="67E3093C"/>
    <w:rsid w:val="681D7AA7"/>
    <w:rsid w:val="68630D4E"/>
    <w:rsid w:val="68F97A6C"/>
    <w:rsid w:val="69257386"/>
    <w:rsid w:val="6A084BB5"/>
    <w:rsid w:val="6A0C334A"/>
    <w:rsid w:val="6A2C2751"/>
    <w:rsid w:val="6A451CFF"/>
    <w:rsid w:val="6BD368E7"/>
    <w:rsid w:val="6C3E4333"/>
    <w:rsid w:val="6C72266A"/>
    <w:rsid w:val="6C7E428F"/>
    <w:rsid w:val="6D714AC7"/>
    <w:rsid w:val="6D831959"/>
    <w:rsid w:val="6DC7690E"/>
    <w:rsid w:val="6DDD057A"/>
    <w:rsid w:val="6E0909E0"/>
    <w:rsid w:val="6E6864B3"/>
    <w:rsid w:val="6F1F3F8D"/>
    <w:rsid w:val="6F29141E"/>
    <w:rsid w:val="6FB54F04"/>
    <w:rsid w:val="6FD430D2"/>
    <w:rsid w:val="703D2A4D"/>
    <w:rsid w:val="704446E1"/>
    <w:rsid w:val="70685EE3"/>
    <w:rsid w:val="70C74340"/>
    <w:rsid w:val="70DC3849"/>
    <w:rsid w:val="71754826"/>
    <w:rsid w:val="71BB12C9"/>
    <w:rsid w:val="71D93EB5"/>
    <w:rsid w:val="71EB078C"/>
    <w:rsid w:val="72023A53"/>
    <w:rsid w:val="726D06CB"/>
    <w:rsid w:val="728D3C86"/>
    <w:rsid w:val="738412ED"/>
    <w:rsid w:val="73BE3738"/>
    <w:rsid w:val="7411673C"/>
    <w:rsid w:val="74591882"/>
    <w:rsid w:val="748E0FD3"/>
    <w:rsid w:val="74A942D4"/>
    <w:rsid w:val="74AA2FC7"/>
    <w:rsid w:val="74AC4BE4"/>
    <w:rsid w:val="74F25DE7"/>
    <w:rsid w:val="753400BA"/>
    <w:rsid w:val="758035C4"/>
    <w:rsid w:val="75B0770F"/>
    <w:rsid w:val="75CD4C11"/>
    <w:rsid w:val="75D31C12"/>
    <w:rsid w:val="76465CEB"/>
    <w:rsid w:val="76A87D3D"/>
    <w:rsid w:val="76E37E25"/>
    <w:rsid w:val="76F974D1"/>
    <w:rsid w:val="7702129B"/>
    <w:rsid w:val="770451B3"/>
    <w:rsid w:val="779E33C4"/>
    <w:rsid w:val="77BB1432"/>
    <w:rsid w:val="77F57227"/>
    <w:rsid w:val="79421E50"/>
    <w:rsid w:val="79562BBE"/>
    <w:rsid w:val="79C33A3F"/>
    <w:rsid w:val="79D66D0B"/>
    <w:rsid w:val="7AA77669"/>
    <w:rsid w:val="7AFC354C"/>
    <w:rsid w:val="7B2610BC"/>
    <w:rsid w:val="7B694F90"/>
    <w:rsid w:val="7B9C5E2C"/>
    <w:rsid w:val="7CE21135"/>
    <w:rsid w:val="7CF30576"/>
    <w:rsid w:val="7D115C8E"/>
    <w:rsid w:val="7D744E1E"/>
    <w:rsid w:val="7F230B51"/>
    <w:rsid w:val="7F2E2D00"/>
    <w:rsid w:val="7F5F2FD2"/>
    <w:rsid w:val="7F6E4297"/>
    <w:rsid w:val="7F7A00C0"/>
    <w:rsid w:val="7F953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8"/>
      <w:lang w:val="en-US" w:eastAsia="zh-CN" w:bidi="mn-Mong-CN"/>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lang w:bidi="ar-SA"/>
    </w:rPr>
  </w:style>
  <w:style w:type="paragraph" w:styleId="4">
    <w:name w:val="heading 6"/>
    <w:basedOn w:val="1"/>
    <w:next w:val="1"/>
    <w:link w:val="21"/>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9"/>
    <w:semiHidden/>
    <w:unhideWhenUsed/>
    <w:qFormat/>
    <w:uiPriority w:val="99"/>
    <w:pPr>
      <w:jc w:val="left"/>
    </w:pPr>
  </w:style>
  <w:style w:type="paragraph" w:styleId="6">
    <w:name w:val="Body Text Indent"/>
    <w:basedOn w:val="1"/>
    <w:link w:val="31"/>
    <w:unhideWhenUsed/>
    <w:qFormat/>
    <w:uiPriority w:val="99"/>
    <w:pPr>
      <w:ind w:firstLine="570"/>
    </w:pPr>
    <w:rPr>
      <w:rFonts w:ascii="宋体" w:hAnsi="宋体" w:eastAsia="宋体" w:cs="Calibri"/>
      <w:sz w:val="32"/>
      <w:szCs w:val="21"/>
    </w:rPr>
  </w:style>
  <w:style w:type="paragraph" w:styleId="7">
    <w:name w:val="toc 3"/>
    <w:basedOn w:val="1"/>
    <w:next w:val="1"/>
    <w:unhideWhenUsed/>
    <w:qFormat/>
    <w:uiPriority w:val="39"/>
    <w:pPr>
      <w:widowControl/>
      <w:spacing w:after="100" w:line="259" w:lineRule="auto"/>
      <w:ind w:left="440"/>
      <w:jc w:val="left"/>
    </w:pPr>
    <w:rPr>
      <w:rFonts w:cs="Times New Roman"/>
      <w:kern w:val="0"/>
      <w:sz w:val="22"/>
      <w:szCs w:val="22"/>
      <w:lang w:bidi="ar-SA"/>
    </w:rPr>
  </w:style>
  <w:style w:type="paragraph" w:styleId="8">
    <w:name w:val="Balloon Text"/>
    <w:basedOn w:val="1"/>
    <w:link w:val="28"/>
    <w:semiHidden/>
    <w:unhideWhenUsed/>
    <w:qFormat/>
    <w:uiPriority w:val="99"/>
    <w:rPr>
      <w:sz w:val="18"/>
      <w:szCs w:val="22"/>
    </w:rPr>
  </w:style>
  <w:style w:type="paragraph" w:styleId="9">
    <w:name w:val="footer"/>
    <w:basedOn w:val="1"/>
    <w:link w:val="24"/>
    <w:unhideWhenUsed/>
    <w:qFormat/>
    <w:uiPriority w:val="99"/>
    <w:pPr>
      <w:tabs>
        <w:tab w:val="center" w:pos="4153"/>
        <w:tab w:val="right" w:pos="8306"/>
      </w:tabs>
      <w:snapToGrid w:val="0"/>
      <w:jc w:val="left"/>
    </w:pPr>
    <w:rPr>
      <w:sz w:val="18"/>
      <w:szCs w:val="22"/>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22"/>
    </w:rPr>
  </w:style>
  <w:style w:type="paragraph" w:styleId="11">
    <w:name w:val="toc 1"/>
    <w:basedOn w:val="1"/>
    <w:next w:val="1"/>
    <w:unhideWhenUsed/>
    <w:qFormat/>
    <w:uiPriority w:val="39"/>
    <w:pPr>
      <w:tabs>
        <w:tab w:val="left" w:pos="1050"/>
        <w:tab w:val="right" w:leader="dot" w:pos="8948"/>
      </w:tabs>
      <w:spacing w:line="600" w:lineRule="exact"/>
    </w:pPr>
    <w:rPr>
      <w:rFonts w:ascii="仿宋_GB2312" w:eastAsia="仿宋_GB2312"/>
      <w:sz w:val="32"/>
      <w:szCs w:val="32"/>
      <w:lang w:bidi="ar-SA"/>
    </w:rPr>
  </w:style>
  <w:style w:type="paragraph" w:styleId="12">
    <w:name w:val="toc 2"/>
    <w:basedOn w:val="1"/>
    <w:next w:val="1"/>
    <w:unhideWhenUsed/>
    <w:qFormat/>
    <w:uiPriority w:val="39"/>
    <w:pPr>
      <w:ind w:left="420" w:leftChars="200"/>
    </w:pPr>
    <w:rPr>
      <w:rFonts w:ascii="仿宋_GB2312" w:eastAsia="仿宋_GB2312"/>
      <w:sz w:val="32"/>
      <w:szCs w:val="32"/>
      <w:lang w:bidi="ar-SA"/>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5"/>
    <w:next w:val="5"/>
    <w:link w:val="30"/>
    <w:semiHidden/>
    <w:unhideWhenUsed/>
    <w:qFormat/>
    <w:uiPriority w:val="99"/>
    <w:rPr>
      <w:b/>
      <w:bCs/>
    </w:rPr>
  </w:style>
  <w:style w:type="character" w:styleId="17">
    <w:name w:val="Emphasis"/>
    <w:basedOn w:val="16"/>
    <w:qFormat/>
    <w:uiPriority w:val="20"/>
    <w:rPr>
      <w:i/>
      <w:iCs/>
    </w:rPr>
  </w:style>
  <w:style w:type="character" w:styleId="18">
    <w:name w:val="Hyperlink"/>
    <w:basedOn w:val="16"/>
    <w:unhideWhenUsed/>
    <w:qFormat/>
    <w:uiPriority w:val="99"/>
    <w:rPr>
      <w:color w:val="0000FF"/>
      <w:u w:val="single"/>
    </w:rPr>
  </w:style>
  <w:style w:type="character" w:styleId="19">
    <w:name w:val="annotation reference"/>
    <w:basedOn w:val="16"/>
    <w:semiHidden/>
    <w:unhideWhenUsed/>
    <w:qFormat/>
    <w:uiPriority w:val="99"/>
    <w:rPr>
      <w:sz w:val="21"/>
      <w:szCs w:val="21"/>
    </w:rPr>
  </w:style>
  <w:style w:type="character" w:customStyle="1" w:styleId="20">
    <w:name w:val="标题 1 Char"/>
    <w:basedOn w:val="16"/>
    <w:link w:val="2"/>
    <w:qFormat/>
    <w:uiPriority w:val="9"/>
    <w:rPr>
      <w:rFonts w:ascii="宋体" w:hAnsi="宋体" w:eastAsia="宋体" w:cs="宋体"/>
      <w:b/>
      <w:bCs/>
      <w:kern w:val="36"/>
      <w:sz w:val="48"/>
      <w:szCs w:val="48"/>
    </w:rPr>
  </w:style>
  <w:style w:type="character" w:customStyle="1" w:styleId="21">
    <w:name w:val="标题 6 Char"/>
    <w:basedOn w:val="16"/>
    <w:link w:val="4"/>
    <w:qFormat/>
    <w:uiPriority w:val="9"/>
    <w:rPr>
      <w:rFonts w:ascii="宋体" w:hAnsi="宋体" w:eastAsia="宋体" w:cs="宋体"/>
      <w:b/>
      <w:bCs/>
      <w:kern w:val="0"/>
      <w:sz w:val="15"/>
      <w:szCs w:val="15"/>
    </w:rPr>
  </w:style>
  <w:style w:type="character" w:customStyle="1" w:styleId="22">
    <w:name w:val="font"/>
    <w:basedOn w:val="16"/>
    <w:qFormat/>
    <w:uiPriority w:val="0"/>
  </w:style>
  <w:style w:type="character" w:customStyle="1" w:styleId="23">
    <w:name w:val="页眉 Char"/>
    <w:basedOn w:val="16"/>
    <w:link w:val="10"/>
    <w:qFormat/>
    <w:uiPriority w:val="99"/>
    <w:rPr>
      <w:sz w:val="18"/>
      <w:szCs w:val="22"/>
    </w:rPr>
  </w:style>
  <w:style w:type="character" w:customStyle="1" w:styleId="24">
    <w:name w:val="页脚 Char"/>
    <w:basedOn w:val="16"/>
    <w:link w:val="9"/>
    <w:qFormat/>
    <w:uiPriority w:val="99"/>
    <w:rPr>
      <w:sz w:val="18"/>
      <w:szCs w:val="22"/>
    </w:rPr>
  </w:style>
  <w:style w:type="paragraph" w:customStyle="1" w:styleId="25">
    <w:name w:val="TOC 标题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E75B5" w:themeColor="accent1" w:themeShade="BF"/>
      <w:kern w:val="0"/>
      <w:sz w:val="32"/>
      <w:szCs w:val="32"/>
      <w:lang w:bidi="ar-SA"/>
    </w:rPr>
  </w:style>
  <w:style w:type="character" w:customStyle="1" w:styleId="26">
    <w:name w:val="标题 2 Char"/>
    <w:basedOn w:val="16"/>
    <w:link w:val="3"/>
    <w:semiHidden/>
    <w:qFormat/>
    <w:uiPriority w:val="9"/>
    <w:rPr>
      <w:rFonts w:asciiTheme="majorHAnsi" w:hAnsiTheme="majorHAnsi" w:eastAsiaTheme="majorEastAsia" w:cstheme="majorBidi"/>
      <w:b/>
      <w:bCs/>
      <w:sz w:val="32"/>
      <w:szCs w:val="32"/>
      <w:lang w:bidi="ar-SA"/>
    </w:rPr>
  </w:style>
  <w:style w:type="paragraph" w:customStyle="1" w:styleId="27">
    <w:name w:val="Char Char2 Char Char Char Char Char Char Char Char Char Char"/>
    <w:basedOn w:val="1"/>
    <w:qFormat/>
    <w:uiPriority w:val="0"/>
    <w:rPr>
      <w:rFonts w:ascii="Tahoma" w:hAnsi="Tahoma" w:eastAsia="宋体" w:cs="Times New Roman"/>
      <w:sz w:val="24"/>
      <w:szCs w:val="20"/>
      <w:lang w:bidi="ar-SA"/>
    </w:rPr>
  </w:style>
  <w:style w:type="character" w:customStyle="1" w:styleId="28">
    <w:name w:val="批注框文本 Char"/>
    <w:basedOn w:val="16"/>
    <w:link w:val="8"/>
    <w:semiHidden/>
    <w:qFormat/>
    <w:uiPriority w:val="99"/>
    <w:rPr>
      <w:sz w:val="18"/>
      <w:szCs w:val="22"/>
    </w:rPr>
  </w:style>
  <w:style w:type="character" w:customStyle="1" w:styleId="29">
    <w:name w:val="批注文字 Char"/>
    <w:basedOn w:val="16"/>
    <w:link w:val="5"/>
    <w:semiHidden/>
    <w:qFormat/>
    <w:uiPriority w:val="99"/>
  </w:style>
  <w:style w:type="character" w:customStyle="1" w:styleId="30">
    <w:name w:val="批注主题 Char"/>
    <w:basedOn w:val="29"/>
    <w:link w:val="14"/>
    <w:semiHidden/>
    <w:qFormat/>
    <w:uiPriority w:val="99"/>
    <w:rPr>
      <w:b/>
      <w:bCs/>
    </w:rPr>
  </w:style>
  <w:style w:type="character" w:customStyle="1" w:styleId="31">
    <w:name w:val="正文文本缩进 Char"/>
    <w:link w:val="6"/>
    <w:qFormat/>
    <w:uiPriority w:val="99"/>
    <w:rPr>
      <w:rFonts w:ascii="宋体" w:hAnsi="宋体" w:eastAsia="宋体" w:cs="Calibri"/>
      <w:sz w:val="32"/>
      <w:szCs w:val="21"/>
    </w:rPr>
  </w:style>
  <w:style w:type="character" w:customStyle="1" w:styleId="32">
    <w:name w:val="正文文本缩进 Char1"/>
    <w:basedOn w:val="16"/>
    <w:semiHidden/>
    <w:qFormat/>
    <w:uiPriority w:val="99"/>
  </w:style>
  <w:style w:type="paragraph" w:styleId="33">
    <w:name w:val="List Paragraph"/>
    <w:basedOn w:val="1"/>
    <w:qFormat/>
    <w:uiPriority w:val="34"/>
    <w:pPr>
      <w:ind w:firstLine="420" w:firstLineChars="200"/>
    </w:pPr>
    <w:rPr>
      <w:rFonts w:ascii="Calibri" w:hAnsi="Calibri" w:eastAsia="宋体" w:cs="Calibri"/>
      <w:szCs w:val="21"/>
      <w:lang w:bidi="ar-SA"/>
    </w:rPr>
  </w:style>
  <w:style w:type="paragraph" w:customStyle="1" w:styleId="34">
    <w:name w:val="TOC 标题2"/>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E75B5" w:themeColor="accent1" w:themeShade="BF"/>
      <w:kern w:val="0"/>
      <w:sz w:val="32"/>
      <w:szCs w:val="32"/>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5B7537-C12D-4F02-B7F1-D65769641A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1870</Words>
  <Characters>10662</Characters>
  <Lines>88</Lines>
  <Paragraphs>25</Paragraphs>
  <TotalTime>20</TotalTime>
  <ScaleCrop>false</ScaleCrop>
  <LinksUpToDate>false</LinksUpToDate>
  <CharactersWithSpaces>12507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2021-01-04T03:02:00Z</dcterms:created>
  <dc:creator>User</dc:creator>
  <cp:lastModifiedBy>人力资源局</cp:lastModifiedBy>
  <cp:lastPrinted>2020-12-02T02:45:00Z</cp:lastPrinted>
  <dcterms:modified xsi:type="dcterms:W3CDTF">2021-07-06T02:59:33Z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3F6B317DF2414B71B862E6EB1086A107</vt:lpwstr>
  </property>
</Properties>
</file>