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附件</w:t>
      </w:r>
      <w:r>
        <w:rPr>
          <w:rFonts w:hint="eastAsia" w:ascii="黑体" w:hAnsi="黑体" w:eastAsia="黑体" w:cs="黑体"/>
          <w:b w:val="0"/>
          <w:bCs w:val="0"/>
          <w:color w:val="auto"/>
          <w:sz w:val="30"/>
          <w:szCs w:val="30"/>
          <w:lang w:val="en-US" w:eastAsia="zh-CN"/>
        </w:rPr>
        <w:t>7</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黑体" w:hAnsi="黑体" w:eastAsia="黑体" w:cs="黑体"/>
          <w:b w:val="0"/>
          <w:bCs w:val="0"/>
          <w:color w:val="auto"/>
          <w:sz w:val="30"/>
          <w:szCs w:val="30"/>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cente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pPr>
      <w:r>
        <w:rPr>
          <w:rFonts w:hint="eastAsia" w:ascii="方正小标宋简体" w:hAnsi="方正小标宋简体" w:eastAsia="方正小标宋简体" w:cs="方正小标宋简体"/>
          <w:b w:val="0"/>
          <w:bCs w:val="0"/>
          <w:color w:val="auto"/>
          <w:sz w:val="44"/>
          <w:szCs w:val="44"/>
        </w:rPr>
        <w:t>《</w:t>
      </w:r>
      <w:r>
        <w:rPr>
          <w:rFonts w:hint="eastAsia" w:ascii="方正小标宋简体" w:hAnsi="方正小标宋简体" w:eastAsia="方正小标宋简体" w:cs="方正小标宋简体"/>
          <w:b w:val="0"/>
          <w:bCs w:val="0"/>
          <w:color w:val="auto"/>
          <w:sz w:val="44"/>
          <w:szCs w:val="44"/>
          <w:lang w:eastAsia="zh-CN"/>
        </w:rPr>
        <w:t>中山市总部企业认定和扶持奖励实施细则</w:t>
      </w:r>
      <w:r>
        <w:rPr>
          <w:rFonts w:hint="eastAsia" w:ascii="方正小标宋简体" w:hAnsi="方正小标宋简体" w:eastAsia="方正小标宋简体" w:cs="方正小标宋简体"/>
          <w:b w:val="0"/>
          <w:bCs w:val="0"/>
          <w:color w:val="auto"/>
          <w:sz w:val="44"/>
          <w:szCs w:val="44"/>
        </w:rPr>
        <w:t>》</w:t>
      </w:r>
      <w:r>
        <w:rPr>
          <w:rFonts w:hint="eastAsia" w:ascii="方正小标宋简体" w:hAnsi="方正小标宋简体" w:eastAsia="方正小标宋简体" w:cs="方正小标宋简体"/>
          <w:b w:val="0"/>
          <w:bCs w:val="0"/>
          <w:color w:val="auto"/>
          <w:sz w:val="44"/>
          <w:szCs w:val="44"/>
          <w:lang w:eastAsia="zh-CN"/>
        </w:rPr>
        <w:t>政策解读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34"/>
        <w:jc w:val="left"/>
        <w:rPr>
          <w:rFonts w:ascii="仿宋_GB2312" w:hAnsi="宋体" w:eastAsia="仿宋_GB2312" w:cs="仿宋_GB2312"/>
          <w:i w:val="0"/>
          <w:iCs w:val="0"/>
          <w:caps w:val="0"/>
          <w:color w:val="auto"/>
          <w:spacing w:val="0"/>
          <w:sz w:val="32"/>
          <w:szCs w:val="32"/>
          <w:shd w:val="clear" w:fill="FFFFFF"/>
        </w:rPr>
      </w:pP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为贯彻落实《中山市促进总部企业高质量发展实施办法》（中府〔2022〕60号），规范中山市总部企业认定和扶持奖励工作，发挥激励引导作用，营造良好的营商环境，培育壮大总部企业队伍，根据《中山市市级财政专项资金管理办法》（中府〔2020〕14号）、《中山市发展和改革局产业扶持专项资金管理暂行办法（2022年版）》（中发改〔2022〕176号）规定，结合工作实际，市发展改革局制定了《中山市总部企业认定和扶持奖励实施细则》。现就文件解读如下：</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34"/>
        <w:jc w:val="left"/>
        <w:rPr>
          <w:rFonts w:hint="eastAsia" w:ascii="黑体" w:hAnsi="宋体" w:eastAsia="黑体" w:cs="黑体"/>
          <w:i w:val="0"/>
          <w:iCs w:val="0"/>
          <w:caps w:val="0"/>
          <w:color w:val="auto"/>
          <w:spacing w:val="0"/>
          <w:sz w:val="32"/>
          <w:szCs w:val="32"/>
          <w:shd w:val="clear" w:fill="FFFFFF"/>
          <w:lang w:eastAsia="zh-CN"/>
        </w:rPr>
      </w:pPr>
      <w:r>
        <w:rPr>
          <w:rFonts w:hint="eastAsia" w:ascii="黑体" w:hAnsi="宋体" w:eastAsia="黑体" w:cs="黑体"/>
          <w:i w:val="0"/>
          <w:iCs w:val="0"/>
          <w:caps w:val="0"/>
          <w:color w:val="auto"/>
          <w:spacing w:val="0"/>
          <w:sz w:val="32"/>
          <w:szCs w:val="32"/>
          <w:shd w:val="clear" w:fill="FFFFFF"/>
          <w:lang w:eastAsia="zh-CN"/>
        </w:rPr>
        <w:t>制定</w:t>
      </w:r>
      <w:r>
        <w:rPr>
          <w:rFonts w:hint="eastAsia" w:ascii="黑体" w:hAnsi="宋体" w:eastAsia="黑体" w:cs="黑体"/>
          <w:i w:val="0"/>
          <w:iCs w:val="0"/>
          <w:caps w:val="0"/>
          <w:color w:val="auto"/>
          <w:spacing w:val="0"/>
          <w:sz w:val="32"/>
          <w:szCs w:val="32"/>
          <w:shd w:val="clear" w:fill="FFFFFF"/>
        </w:rPr>
        <w:t>《实施细则》</w:t>
      </w:r>
      <w:r>
        <w:rPr>
          <w:rFonts w:hint="eastAsia" w:ascii="黑体" w:hAnsi="宋体" w:eastAsia="黑体" w:cs="黑体"/>
          <w:i w:val="0"/>
          <w:iCs w:val="0"/>
          <w:caps w:val="0"/>
          <w:color w:val="auto"/>
          <w:spacing w:val="0"/>
          <w:sz w:val="32"/>
          <w:szCs w:val="32"/>
          <w:shd w:val="clear" w:fill="FFFFFF"/>
          <w:lang w:eastAsia="zh-CN"/>
        </w:rPr>
        <w:t>的背景是什么？</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right="0" w:rightChars="0" w:firstLine="616"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2022年6月，市政府印发《中山市促进总部企业高质量发展实施办法》（中府〔2022〕60号）。为便于政策实施，明确实施办法的具体内容及操作办法，结合中山实际情况，制定《中山市总部企业认定和扶持奖励实施细则》。</w:t>
      </w:r>
    </w:p>
    <w:p>
      <w:pPr>
        <w:spacing w:line="560" w:lineRule="exact"/>
        <w:ind w:firstLine="640" w:firstLineChars="200"/>
        <w:rPr>
          <w:rFonts w:hint="eastAsia" w:ascii="黑体" w:hAnsi="宋体" w:eastAsia="黑体" w:cs="黑体"/>
          <w:i w:val="0"/>
          <w:iCs w:val="0"/>
          <w:caps w:val="0"/>
          <w:color w:val="auto"/>
          <w:spacing w:val="0"/>
          <w:sz w:val="32"/>
          <w:szCs w:val="32"/>
          <w:shd w:val="clear" w:fill="FFFFFF"/>
        </w:rPr>
      </w:pPr>
      <w:r>
        <w:rPr>
          <w:rFonts w:hint="eastAsia" w:ascii="黑体" w:hAnsi="宋体" w:eastAsia="黑体" w:cs="黑体"/>
          <w:i w:val="0"/>
          <w:iCs w:val="0"/>
          <w:caps w:val="0"/>
          <w:color w:val="auto"/>
          <w:spacing w:val="0"/>
          <w:sz w:val="32"/>
          <w:szCs w:val="32"/>
          <w:shd w:val="clear" w:fill="FFFFFF"/>
        </w:rPr>
        <w:t>二、制定《实施细则》依据是什么？</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right="0" w:rightChars="0" w:firstLine="616" w:firstLineChars="200"/>
        <w:jc w:val="left"/>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（一）《中山市促进总部企业高质量发展实施办法》（中府〔2022〕60号）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right="0" w:rightChars="0" w:firstLine="616" w:firstLineChars="200"/>
        <w:jc w:val="left"/>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（二）《中山市市级财政专项资金管理办法》（中府〔2020〕14号）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right="0" w:rightChars="0" w:firstLine="616" w:firstLineChars="200"/>
        <w:jc w:val="left"/>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（三）《中山市发展和改革局产业扶持专项资金管理暂行办法（2022年版）》（中发改〔2022〕176号）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34"/>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三、《实施细则》明确了哪些内容？</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《实施细则》分为九个部分共42个条款，包括总则；总部企业认定；总部企业资格复审；总部企业扶持奖励；申报、受理、评审；组织实施；监督管理；资金管理和附则。</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（一）总则。说明制定文件的目的意义，解释了总部企业的类型及需符合的经营条件，设定了工作绩效目标，明确新引进企业与本土培育企业的界定。</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（二）总部企业认定。明确新引进企业和本土培育企业的认定申报条件及材料要求。</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（三）总部企业资格复审。明确资格复审规则、新引进企业和本土培育企业的资格复审申报条件及材料要求及企业年度评估程序。</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（四）总部企业扶持奖励。明确落户奖、认定奖、经营贡献奖、办公用房补贴、人才奖励、入学服务等的申报条件、奖励标准和材料要求，以及购房支持、用地支持、金融支持的申报条件和要求。</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 xml:space="preserve">（五）申报、受理、评审。明确总部企业认定、资格复审、奖励资金、入学服务的申报审核程序。 </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（六）组织实施。明确市总部办及各相关职能部门的职责分工。</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（七）监督管理。明确企业需如实申报资金、严禁买卖入学指标、企业变更备案、年度评估等部分约束性条款。</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（八）资金管理。明确专项资金使用原则、对象、所遵循的法律法规以及资金使用单位职责。</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（九）附则。明确企业经营数据范围、政策解释部门、政策有效期。</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924" w:firstLineChars="3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附：总部企业申报常见问题解答</w:t>
      </w:r>
    </w:p>
    <w:p>
      <w:pPr>
        <w:numPr>
          <w:ilvl w:val="0"/>
          <w:numId w:val="0"/>
        </w:numPr>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p>
    <w:p>
      <w:pPr>
        <w:numPr>
          <w:ilvl w:val="0"/>
          <w:numId w:val="0"/>
        </w:numPr>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p>
    <w:p>
      <w:pPr>
        <w:numPr>
          <w:ilvl w:val="0"/>
          <w:numId w:val="0"/>
        </w:numPr>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p>
    <w:p>
      <w:pPr>
        <w:numPr>
          <w:ilvl w:val="0"/>
          <w:numId w:val="0"/>
        </w:numPr>
        <w:tabs>
          <w:tab w:val="left" w:pos="2170"/>
        </w:tabs>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ab/>
      </w:r>
    </w:p>
    <w:p>
      <w:pPr>
        <w:numPr>
          <w:ilvl w:val="0"/>
          <w:numId w:val="0"/>
        </w:numPr>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p>
    <w:p>
      <w:pPr>
        <w:numPr>
          <w:ilvl w:val="0"/>
          <w:numId w:val="0"/>
        </w:numPr>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p>
    <w:p>
      <w:pPr>
        <w:numPr>
          <w:ilvl w:val="0"/>
          <w:numId w:val="0"/>
        </w:numPr>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p>
    <w:p>
      <w:pPr>
        <w:numPr>
          <w:ilvl w:val="0"/>
          <w:numId w:val="0"/>
        </w:numPr>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p>
    <w:p>
      <w:pPr>
        <w:numPr>
          <w:ilvl w:val="0"/>
          <w:numId w:val="0"/>
        </w:numPr>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p>
    <w:p>
      <w:pPr>
        <w:numPr>
          <w:ilvl w:val="0"/>
          <w:numId w:val="0"/>
        </w:numPr>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p>
    <w:p>
      <w:pPr>
        <w:numPr>
          <w:ilvl w:val="0"/>
          <w:numId w:val="0"/>
        </w:numPr>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p>
    <w:p>
      <w:pPr>
        <w:numPr>
          <w:ilvl w:val="0"/>
          <w:numId w:val="0"/>
        </w:numPr>
        <w:spacing w:beforeLines="0" w:afterLines="0" w:line="560" w:lineRule="exact"/>
        <w:ind w:left="210" w:leftChars="0" w:firstLine="640" w:firstLineChars="200"/>
        <w:rPr>
          <w:rFonts w:hint="eastAsia" w:ascii="黑体" w:hAnsi="黑体" w:eastAsia="黑体" w:cs="黑体"/>
          <w:b w:val="0"/>
          <w:bCs w:val="0"/>
          <w:color w:val="auto"/>
          <w:sz w:val="32"/>
          <w:szCs w:val="32"/>
          <w:lang w:eastAsia="zh-CN"/>
        </w:rPr>
      </w:pPr>
    </w:p>
    <w:p>
      <w:pPr>
        <w:pStyle w:val="2"/>
        <w:spacing w:line="560" w:lineRule="exact"/>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附</w:t>
      </w:r>
    </w:p>
    <w:p>
      <w:pPr>
        <w:rPr>
          <w:rFonts w:hint="eastAsia"/>
          <w:lang w:eastAsia="zh-CN"/>
        </w:rPr>
      </w:pPr>
    </w:p>
    <w:p>
      <w:pPr>
        <w:pStyle w:val="2"/>
        <w:spacing w:line="560" w:lineRule="exact"/>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color w:val="auto"/>
          <w:sz w:val="40"/>
          <w:szCs w:val="40"/>
          <w:lang w:eastAsia="zh-CN"/>
        </w:rPr>
        <w:t>总部企业申报常见问题解答</w:t>
      </w:r>
    </w:p>
    <w:p>
      <w:pPr>
        <w:numPr>
          <w:ilvl w:val="0"/>
          <w:numId w:val="0"/>
        </w:numPr>
        <w:spacing w:beforeLines="0" w:afterLines="0" w:line="560" w:lineRule="exact"/>
        <w:ind w:left="210" w:leftChars="0" w:firstLine="722" w:firstLineChars="200"/>
        <w:rPr>
          <w:rFonts w:hint="eastAsia" w:asciiTheme="minorEastAsia" w:hAnsiTheme="minorEastAsia" w:eastAsiaTheme="minorEastAsia" w:cstheme="minorEastAsia"/>
          <w:b/>
          <w:bCs/>
          <w:color w:val="auto"/>
          <w:sz w:val="36"/>
          <w:szCs w:val="36"/>
          <w:lang w:eastAsia="zh-CN"/>
        </w:rPr>
      </w:pPr>
    </w:p>
    <w:p>
      <w:pPr>
        <w:numPr>
          <w:ilvl w:val="0"/>
          <w:numId w:val="0"/>
        </w:numPr>
        <w:spacing w:beforeLines="0" w:afterLines="0"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申报认定总部企业</w:t>
      </w:r>
      <w:r>
        <w:rPr>
          <w:rFonts w:hint="eastAsia" w:ascii="黑体" w:hAnsi="黑体" w:eastAsia="黑体" w:cs="黑体"/>
          <w:b w:val="0"/>
          <w:bCs w:val="0"/>
          <w:color w:val="auto"/>
          <w:sz w:val="32"/>
          <w:szCs w:val="32"/>
          <w:lang w:eastAsia="zh-CN"/>
        </w:rPr>
        <w:t>需满足哪些条件？</w:t>
      </w:r>
    </w:p>
    <w:p>
      <w:pPr>
        <w:keepNext w:val="0"/>
        <w:keepLines w:val="0"/>
        <w:pageBreakBefore w:val="0"/>
        <w:widowControl w:val="0"/>
        <w:shd w:val="clear"/>
        <w:kinsoku/>
        <w:wordWrap/>
        <w:overflowPunct/>
        <w:topLinePunct w:val="0"/>
        <w:autoSpaceDE/>
        <w:autoSpaceDN/>
        <w:bidi w:val="0"/>
        <w:adjustRightInd w:val="0"/>
        <w:snapToGrid/>
        <w:spacing w:line="560" w:lineRule="exact"/>
        <w:ind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申请总部企业需符合总部企业基本条件和认定条件：</w:t>
      </w:r>
    </w:p>
    <w:p>
      <w:pPr>
        <w:keepNext w:val="0"/>
        <w:keepLines w:val="0"/>
        <w:pageBreakBefore w:val="0"/>
        <w:widowControl w:val="0"/>
        <w:shd w:val="clear"/>
        <w:kinsoku/>
        <w:wordWrap/>
        <w:overflowPunct/>
        <w:topLinePunct w:val="0"/>
        <w:autoSpaceDE/>
        <w:autoSpaceDN/>
        <w:bidi w:val="0"/>
        <w:adjustRightInd w:val="0"/>
        <w:snapToGrid/>
        <w:spacing w:line="560" w:lineRule="exact"/>
        <w:ind w:right="0" w:rightChars="0" w:firstLine="616" w:firstLineChars="200"/>
        <w:jc w:val="both"/>
        <w:textAlignment w:val="auto"/>
        <w:outlineLvl w:val="9"/>
        <w:rPr>
          <w:rFonts w:hint="eastAsia" w:ascii="楷体" w:hAnsi="楷体" w:eastAsia="楷体" w:cs="楷体"/>
          <w:b w:val="0"/>
          <w:bCs w:val="0"/>
          <w:color w:val="auto"/>
          <w:spacing w:val="-6"/>
          <w:kern w:val="0"/>
          <w:sz w:val="32"/>
          <w:szCs w:val="32"/>
          <w:highlight w:val="none"/>
          <w:u w:val="none"/>
          <w:lang w:val="en-US" w:eastAsia="zh-CN"/>
        </w:rPr>
      </w:pPr>
      <w:r>
        <w:rPr>
          <w:rFonts w:hint="eastAsia" w:ascii="楷体" w:hAnsi="楷体" w:eastAsia="楷体" w:cs="楷体"/>
          <w:b w:val="0"/>
          <w:bCs w:val="0"/>
          <w:color w:val="auto"/>
          <w:spacing w:val="-6"/>
          <w:kern w:val="0"/>
          <w:sz w:val="32"/>
          <w:szCs w:val="32"/>
          <w:highlight w:val="none"/>
          <w:u w:val="none"/>
          <w:lang w:val="en-US" w:eastAsia="zh-CN"/>
        </w:rPr>
        <w:t>（一）基本条件</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企业注册、实际经营地、税务登记和统计关系均在中山，符合中山产业发展导向要求，在一定区域内行使投资控股、运营决策、研究开发、集中销售、财务结算、资产管理、项目管理和服务等总部管理职能的法人企业或机构组织。具体分为集团总部或总公司、区域总部与职能总部。</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1.集团总部或总公司是指履行本企业战略规划、投资决策、生产管理、研发销售、财务结算、行政和人力资源管理等综合管理职能，在中国境内外投资或授权管理的企业(子公司或分公司)不少于1个，对其所属企业或分支机构行使管理服务职能的企业。</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2.区域总部是指以投资或母公司（集团总部）授权形式负责协调本企业（集团总部）跨地级市以上区域范围内子公司、分公司生产经营活动，对其所负责企业履行运营决策管理、投融资和资产管理、供应链配置、科研和生产场所资源布局、营销市场区域划分等多项管理职能的企业。</w:t>
      </w:r>
    </w:p>
    <w:p>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3.职能总部是指获得母公司（集团总部）授权，主要承担集团总部或总公司销售、研发、运营等部分总部职能的企业，分为销售总部、研发总部、运营总部。</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 xml:space="preserve">    1.销售总部，是指承担其在中国境内全域或跨地级市以上区域范围产品集中销售职能的企业。</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2.运营总部，是指承担其在中国境内全域或跨地级市以上区域范围的运营决策、投资管理、生产开发等管理服务职能，在中山市汇总缴纳企业所得税的企业。</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3.研发总部，是指具有稳定研发经费来源和研发团队，承担开展基础和应用研究、技术研发、产品开发、成果转化、科技孵化等职能的企业。</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同时还需符合以下基本经营条件：</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1.具有健全的财务制度、独立核算，按要求配合做好统计调查工作，及时上报企业经营统计数据；</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2.申报及审核时未被列入市场监督管理局公布的经营异常名录或严重违法失信企业名单。</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3.符合安全生产监督管理、环境保护和能耗管控要求；</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4.近三年资信状况良好,无不良信用记录及重大违法、违约记录、经济纠纷情况；</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5.其他法律法规规定的经营要求。</w:t>
      </w:r>
    </w:p>
    <w:p>
      <w:pPr>
        <w:spacing w:line="560" w:lineRule="exact"/>
        <w:ind w:firstLine="463"/>
        <w:rPr>
          <w:rFonts w:hint="eastAsia" w:ascii="楷体" w:hAnsi="楷体" w:eastAsia="楷体" w:cs="楷体"/>
          <w:b w:val="0"/>
          <w:bCs w:val="0"/>
          <w:color w:val="auto"/>
          <w:spacing w:val="-6"/>
          <w:kern w:val="0"/>
          <w:sz w:val="32"/>
          <w:szCs w:val="32"/>
          <w:highlight w:val="none"/>
          <w:u w:val="none"/>
          <w:lang w:val="en-US" w:eastAsia="zh-CN"/>
        </w:rPr>
      </w:pPr>
      <w:r>
        <w:rPr>
          <w:rFonts w:hint="eastAsia" w:ascii="楷体" w:hAnsi="楷体" w:eastAsia="楷体" w:cs="楷体"/>
          <w:b w:val="0"/>
          <w:bCs w:val="0"/>
          <w:color w:val="auto"/>
          <w:spacing w:val="-6"/>
          <w:kern w:val="0"/>
          <w:sz w:val="32"/>
          <w:szCs w:val="32"/>
          <w:highlight w:val="none"/>
          <w:u w:val="none"/>
          <w:lang w:val="en-US" w:eastAsia="zh-CN"/>
        </w:rPr>
        <w:t>（二）认定条件</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8"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bCs/>
          <w:color w:val="auto"/>
          <w:spacing w:val="-6"/>
          <w:kern w:val="0"/>
          <w:sz w:val="32"/>
          <w:szCs w:val="32"/>
          <w:highlight w:val="none"/>
          <w:u w:val="none"/>
          <w:lang w:val="en-US" w:eastAsia="zh-CN" w:bidi="ar-SA"/>
        </w:rPr>
        <w:t>第一类：新引进总部企业。</w:t>
      </w:r>
      <w:r>
        <w:rPr>
          <w:rFonts w:hint="eastAsia" w:ascii="仿宋_GB2312" w:hAnsi="仿宋_GB2312" w:eastAsia="仿宋_GB2312" w:cs="仿宋_GB2312"/>
          <w:b w:val="0"/>
          <w:bCs w:val="0"/>
          <w:color w:val="auto"/>
          <w:spacing w:val="-6"/>
          <w:kern w:val="0"/>
          <w:sz w:val="32"/>
          <w:szCs w:val="32"/>
          <w:highlight w:val="none"/>
          <w:u w:val="none"/>
          <w:lang w:val="en-US" w:eastAsia="zh-CN" w:bidi="ar-SA"/>
        </w:rPr>
        <w:t>从市外迁入的符合下列条件之一的企业:</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1.在本市经营不满1年，实缴注册资本不低于3亿元，且其（或其控股母公司）上年度营业收入不低于50亿元，并签订投资监管协议，承诺第二年在本市的营业收入不低于10亿元且形成的经济贡献不低于3000万元，第三年在本市的营业收入不低于30亿元且形成的经济贡献不低于1亿元，经市招商引资工作指挥部审议同意的总部企业。</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2.符合我市招商引资产业导向或具有重大产业支撑作用，经市招商引资工作指挥部审议并提请市委或市政府同意后,采用“一事一议”方式认定的总部企业。</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8"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bCs/>
          <w:color w:val="auto"/>
          <w:spacing w:val="-6"/>
          <w:kern w:val="0"/>
          <w:sz w:val="32"/>
          <w:szCs w:val="32"/>
          <w:highlight w:val="none"/>
          <w:u w:val="none"/>
          <w:lang w:val="en-US" w:eastAsia="zh-CN" w:bidi="ar-SA"/>
        </w:rPr>
        <w:t>第二类：本土培育总部企业。</w:t>
      </w:r>
      <w:r>
        <w:rPr>
          <w:rFonts w:hint="eastAsia" w:ascii="仿宋_GB2312" w:hAnsi="仿宋_GB2312" w:eastAsia="仿宋_GB2312" w:cs="仿宋_GB2312"/>
          <w:b w:val="0"/>
          <w:bCs w:val="0"/>
          <w:color w:val="auto"/>
          <w:spacing w:val="-6"/>
          <w:kern w:val="0"/>
          <w:sz w:val="32"/>
          <w:szCs w:val="32"/>
          <w:highlight w:val="none"/>
          <w:u w:val="none"/>
          <w:lang w:val="en-US" w:eastAsia="zh-CN" w:bidi="ar-SA"/>
        </w:rPr>
        <w:t>在本市持续经营1年以上（含1年）符合下列条件之一的企业：</w:t>
      </w:r>
    </w:p>
    <w:p>
      <w:pPr>
        <w:pStyle w:val="4"/>
        <w:keepNext w:val="0"/>
        <w:keepLines w:val="0"/>
        <w:pageBreakBefore w:val="0"/>
        <w:widowControl w:val="0"/>
        <w:numPr>
          <w:ilvl w:val="-1"/>
          <w:numId w:val="0"/>
        </w:numPr>
        <w:shd w:val="clear"/>
        <w:kinsoku/>
        <w:wordWrap/>
        <w:overflowPunct/>
        <w:topLinePunct w:val="0"/>
        <w:autoSpaceDE/>
        <w:autoSpaceDN/>
        <w:bidi w:val="0"/>
        <w:adjustRightInd w:val="0"/>
        <w:snapToGrid/>
        <w:spacing w:after="0" w:line="560" w:lineRule="exact"/>
        <w:ind w:leftChars="0"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1.上年度在本市的营业收入不低于10亿元且形成的经济贡献不低于3000万元，其中商务会展、文化旅游、现代物流、科技服务、信息服务、健康服务、商务服务企业上年度在本市核算的营业收入不低于1亿元，且形成的经济贡献不低于1000万元。</w:t>
      </w:r>
    </w:p>
    <w:p>
      <w:pPr>
        <w:pStyle w:val="4"/>
        <w:keepNext w:val="0"/>
        <w:keepLines w:val="0"/>
        <w:pageBreakBefore w:val="0"/>
        <w:widowControl w:val="0"/>
        <w:numPr>
          <w:ilvl w:val="-1"/>
          <w:numId w:val="0"/>
        </w:numPr>
        <w:shd w:val="clear"/>
        <w:kinsoku/>
        <w:wordWrap/>
        <w:overflowPunct/>
        <w:topLinePunct w:val="0"/>
        <w:autoSpaceDE/>
        <w:autoSpaceDN/>
        <w:bidi w:val="0"/>
        <w:adjustRightInd w:val="0"/>
        <w:snapToGrid/>
        <w:spacing w:after="0" w:line="560" w:lineRule="exact"/>
        <w:ind w:leftChars="0" w:firstLine="616" w:firstLineChars="200"/>
        <w:textAlignment w:val="auto"/>
        <w:rPr>
          <w:rFonts w:hint="default"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（商务会展、文化旅游、现代物流、科技服务、信息服务、健康服务、商务服务等七大行业以《中山市服务业发展“十四五”规划》重点发展领域为准）。</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2.符合中山产业发展战略和产业政策导向，上年度在本市核算的营业收入5亿元以上，近两年研发投入强度均不低于5%。其中，拥有国家级技术创新平台、省重点实验室或承担国家和省重大科技专项的有效创新标杆企业，上年度在本市核算的营业收入1亿元以上，近两年研发投入强度均不低于5%。</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3.符合中山战略性新兴产业和未来产业发展方向，估值或市值不低于50亿元、最近一轮融资不低于5000万元且未上市的企业。</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8"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bCs/>
          <w:color w:val="auto"/>
          <w:spacing w:val="-6"/>
          <w:kern w:val="0"/>
          <w:sz w:val="32"/>
          <w:szCs w:val="32"/>
          <w:highlight w:val="none"/>
          <w:u w:val="none"/>
          <w:lang w:val="en-US" w:eastAsia="zh-CN" w:bidi="ar-SA"/>
        </w:rPr>
        <w:t>第三类：直接认定总部企业。</w:t>
      </w:r>
      <w:r>
        <w:rPr>
          <w:rFonts w:hint="eastAsia" w:ascii="仿宋_GB2312" w:hAnsi="仿宋_GB2312" w:eastAsia="仿宋_GB2312" w:cs="仿宋_GB2312"/>
          <w:b w:val="0"/>
          <w:bCs w:val="0"/>
          <w:color w:val="auto"/>
          <w:spacing w:val="-6"/>
          <w:kern w:val="0"/>
          <w:sz w:val="32"/>
          <w:szCs w:val="32"/>
          <w:highlight w:val="none"/>
          <w:u w:val="none"/>
          <w:lang w:val="en-US" w:eastAsia="zh-CN" w:bidi="ar-SA"/>
        </w:rPr>
        <w:t>对本市经济社会发展具有重大贡献的本土培育企业、新引进企业：</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1.世界企业500强、中国企业500强、中国民营企业500强企业总部或其二级以上子公司。</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2.国家和中央部门管理的大企业（集团）总部或其二级以上子公司。</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3.境内A股或香港H股直接上市公司企业总部。</w:t>
      </w:r>
    </w:p>
    <w:p>
      <w:pPr>
        <w:pStyle w:val="4"/>
        <w:keepNext w:val="0"/>
        <w:keepLines w:val="0"/>
        <w:pageBreakBefore w:val="0"/>
        <w:widowControl w:val="0"/>
        <w:shd w:val="clear"/>
        <w:kinsoku/>
        <w:wordWrap/>
        <w:overflowPunct/>
        <w:topLinePunct w:val="0"/>
        <w:autoSpaceDE/>
        <w:autoSpaceDN/>
        <w:bidi w:val="0"/>
        <w:adjustRightInd w:val="0"/>
        <w:snapToGrid/>
        <w:spacing w:after="0" w:line="560" w:lineRule="exact"/>
        <w:ind w:firstLine="616" w:firstLineChars="200"/>
        <w:textAlignment w:val="auto"/>
        <w:rPr>
          <w:rFonts w:hint="eastAsia" w:ascii="仿宋_GB2312" w:hAnsi="仿宋_GB2312" w:eastAsia="仿宋_GB2312" w:cs="仿宋_GB2312"/>
          <w:b w:val="0"/>
          <w:bCs w:val="0"/>
          <w:color w:val="auto"/>
          <w:spacing w:val="-6"/>
          <w:kern w:val="0"/>
          <w:sz w:val="32"/>
          <w:szCs w:val="32"/>
          <w:highlight w:val="none"/>
          <w:u w:val="none"/>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val="en-US" w:eastAsia="zh-CN" w:bidi="ar-SA"/>
        </w:rPr>
        <w:t>4.中国制造业企业500强、中国服务业企业500强企业总部。</w:t>
      </w:r>
    </w:p>
    <w:p>
      <w:pPr>
        <w:numPr>
          <w:ilvl w:val="0"/>
          <w:numId w:val="0"/>
        </w:numPr>
        <w:spacing w:beforeLines="0" w:afterLines="0" w:line="560" w:lineRule="exact"/>
        <w:ind w:left="210" w:leftChars="0" w:firstLine="320" w:firstLineChars="1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二、新引进和本土培育企业如何界定？</w:t>
      </w:r>
    </w:p>
    <w:p>
      <w:pPr>
        <w:keepNext w:val="0"/>
        <w:keepLines w:val="0"/>
        <w:pageBreakBefore w:val="0"/>
        <w:widowControl w:val="0"/>
        <w:numPr>
          <w:ilvl w:val="0"/>
          <w:numId w:val="0"/>
        </w:numPr>
        <w:shd w:val="clear"/>
        <w:kinsoku/>
        <w:wordWrap/>
        <w:overflowPunct/>
        <w:topLinePunct w:val="0"/>
        <w:autoSpaceDE/>
        <w:autoSpaceDN/>
        <w:bidi w:val="0"/>
        <w:adjustRightInd w:val="0"/>
        <w:snapToGrid/>
        <w:spacing w:line="560" w:lineRule="exact"/>
        <w:ind w:right="0" w:rightChars="0"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rPr>
        <w:t>新引进企业是指</w:t>
      </w:r>
      <w:r>
        <w:rPr>
          <w:rFonts w:hint="eastAsia" w:ascii="仿宋_GB2312" w:hAnsi="仿宋_GB2312" w:eastAsia="仿宋_GB2312" w:cs="仿宋_GB2312"/>
          <w:b w:val="0"/>
          <w:bCs w:val="0"/>
          <w:color w:val="auto"/>
          <w:spacing w:val="-6"/>
          <w:kern w:val="0"/>
          <w:sz w:val="32"/>
          <w:szCs w:val="32"/>
          <w:highlight w:val="none"/>
          <w:u w:val="none"/>
          <w:lang w:eastAsia="zh-CN"/>
        </w:rPr>
        <w:t>在档次申报通知发布之日</w:t>
      </w:r>
      <w:r>
        <w:rPr>
          <w:rFonts w:hint="eastAsia" w:hAnsi="仿宋_GB2312" w:cs="仿宋_GB2312"/>
          <w:b w:val="0"/>
          <w:bCs w:val="0"/>
          <w:color w:val="auto"/>
          <w:spacing w:val="-6"/>
          <w:kern w:val="0"/>
          <w:sz w:val="32"/>
          <w:szCs w:val="32"/>
          <w:highlight w:val="none"/>
          <w:u w:val="none"/>
          <w:lang w:eastAsia="zh-CN"/>
        </w:rPr>
        <w:t>前</w:t>
      </w:r>
      <w:r>
        <w:rPr>
          <w:rFonts w:hint="eastAsia" w:ascii="仿宋_GB2312" w:hAnsi="仿宋_GB2312" w:eastAsia="仿宋_GB2312" w:cs="仿宋_GB2312"/>
          <w:b w:val="0"/>
          <w:bCs w:val="0"/>
          <w:color w:val="auto"/>
          <w:spacing w:val="-6"/>
          <w:kern w:val="0"/>
          <w:sz w:val="32"/>
          <w:szCs w:val="32"/>
          <w:highlight w:val="none"/>
          <w:u w:val="none"/>
          <w:lang w:eastAsia="zh-CN"/>
        </w:rPr>
        <w:t>，从</w:t>
      </w:r>
      <w:r>
        <w:rPr>
          <w:rFonts w:hint="eastAsia" w:ascii="仿宋_GB2312" w:hAnsi="仿宋_GB2312" w:eastAsia="仿宋_GB2312" w:cs="仿宋_GB2312"/>
          <w:b w:val="0"/>
          <w:bCs w:val="0"/>
          <w:color w:val="auto"/>
          <w:spacing w:val="-6"/>
          <w:kern w:val="0"/>
          <w:sz w:val="32"/>
          <w:szCs w:val="32"/>
          <w:highlight w:val="none"/>
          <w:u w:val="none"/>
        </w:rPr>
        <w:t>市外迁入的</w:t>
      </w:r>
      <w:r>
        <w:rPr>
          <w:rFonts w:hint="eastAsia" w:ascii="仿宋_GB2312" w:hAnsi="仿宋_GB2312" w:eastAsia="仿宋_GB2312" w:cs="仿宋_GB2312"/>
          <w:b w:val="0"/>
          <w:bCs w:val="0"/>
          <w:color w:val="auto"/>
          <w:spacing w:val="-6"/>
          <w:kern w:val="0"/>
          <w:sz w:val="32"/>
          <w:szCs w:val="32"/>
          <w:highlight w:val="none"/>
          <w:u w:val="none"/>
          <w:lang w:eastAsia="zh-CN"/>
        </w:rPr>
        <w:t>且</w:t>
      </w:r>
      <w:r>
        <w:rPr>
          <w:rFonts w:hint="eastAsia" w:ascii="仿宋_GB2312" w:hAnsi="仿宋_GB2312" w:eastAsia="仿宋_GB2312" w:cs="仿宋_GB2312"/>
          <w:b w:val="0"/>
          <w:bCs w:val="0"/>
          <w:color w:val="auto"/>
          <w:spacing w:val="-6"/>
          <w:kern w:val="0"/>
          <w:sz w:val="32"/>
          <w:szCs w:val="32"/>
          <w:highlight w:val="none"/>
          <w:u w:val="none"/>
        </w:rPr>
        <w:t>在本市</w:t>
      </w:r>
      <w:r>
        <w:rPr>
          <w:rFonts w:hint="eastAsia" w:ascii="仿宋_GB2312" w:hAnsi="仿宋_GB2312" w:eastAsia="仿宋_GB2312" w:cs="仿宋_GB2312"/>
          <w:b w:val="0"/>
          <w:bCs w:val="0"/>
          <w:color w:val="auto"/>
          <w:spacing w:val="-6"/>
          <w:kern w:val="0"/>
          <w:sz w:val="32"/>
          <w:szCs w:val="32"/>
          <w:highlight w:val="none"/>
          <w:u w:val="none"/>
          <w:lang w:eastAsia="zh-CN"/>
        </w:rPr>
        <w:t>注册不满</w:t>
      </w:r>
      <w:r>
        <w:rPr>
          <w:rFonts w:hint="eastAsia" w:ascii="仿宋_GB2312" w:hAnsi="仿宋_GB2312" w:eastAsia="仿宋_GB2312" w:cs="仿宋_GB2312"/>
          <w:b w:val="0"/>
          <w:bCs w:val="0"/>
          <w:color w:val="auto"/>
          <w:spacing w:val="-6"/>
          <w:kern w:val="0"/>
          <w:sz w:val="32"/>
          <w:szCs w:val="32"/>
          <w:highlight w:val="none"/>
          <w:u w:val="none"/>
        </w:rPr>
        <w:t>1年</w:t>
      </w:r>
      <w:r>
        <w:rPr>
          <w:rFonts w:hint="eastAsia" w:ascii="仿宋_GB2312" w:hAnsi="仿宋_GB2312" w:eastAsia="仿宋_GB2312" w:cs="仿宋_GB2312"/>
          <w:b w:val="0"/>
          <w:bCs w:val="0"/>
          <w:color w:val="auto"/>
          <w:spacing w:val="-6"/>
          <w:kern w:val="0"/>
          <w:sz w:val="32"/>
          <w:szCs w:val="32"/>
          <w:highlight w:val="none"/>
          <w:u w:val="none"/>
          <w:lang w:eastAsia="zh-CN"/>
        </w:rPr>
        <w:t>的企业；本土培育企业</w:t>
      </w:r>
      <w:r>
        <w:rPr>
          <w:rFonts w:hint="eastAsia" w:ascii="仿宋_GB2312" w:hAnsi="仿宋_GB2312" w:eastAsia="仿宋_GB2312" w:cs="仿宋_GB2312"/>
          <w:b w:val="0"/>
          <w:bCs w:val="0"/>
          <w:color w:val="auto"/>
          <w:spacing w:val="-6"/>
          <w:kern w:val="0"/>
          <w:sz w:val="32"/>
          <w:szCs w:val="32"/>
          <w:highlight w:val="none"/>
          <w:u w:val="none"/>
        </w:rPr>
        <w:t>是指在</w:t>
      </w:r>
      <w:r>
        <w:rPr>
          <w:rFonts w:hint="eastAsia" w:ascii="仿宋_GB2312" w:hAnsi="仿宋_GB2312" w:eastAsia="仿宋_GB2312" w:cs="仿宋_GB2312"/>
          <w:b w:val="0"/>
          <w:bCs w:val="0"/>
          <w:color w:val="auto"/>
          <w:spacing w:val="-6"/>
          <w:kern w:val="0"/>
          <w:sz w:val="32"/>
          <w:szCs w:val="32"/>
          <w:highlight w:val="none"/>
          <w:u w:val="none"/>
          <w:lang w:eastAsia="zh-CN"/>
        </w:rPr>
        <w:t>当次申报通知发布之日前</w:t>
      </w:r>
      <w:r>
        <w:rPr>
          <w:rFonts w:hint="eastAsia" w:hAnsi="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rPr>
        <w:t>本市持续经营1年以上（含1年）的企业。</w:t>
      </w:r>
      <w:r>
        <w:rPr>
          <w:rFonts w:hint="eastAsia" w:ascii="仿宋_GB2312" w:hAnsi="仿宋_GB2312" w:eastAsia="仿宋_GB2312" w:cs="仿宋_GB2312"/>
          <w:b w:val="0"/>
          <w:bCs w:val="0"/>
          <w:color w:val="auto"/>
          <w:spacing w:val="-6"/>
          <w:kern w:val="0"/>
          <w:sz w:val="32"/>
          <w:szCs w:val="32"/>
          <w:highlight w:val="none"/>
          <w:u w:val="none"/>
          <w:lang w:val="en-US" w:eastAsia="zh-CN"/>
        </w:rPr>
        <w:t>2021年已入库的总部企业均属于本土培育企业。</w:t>
      </w:r>
    </w:p>
    <w:p>
      <w:pPr>
        <w:spacing w:beforeLines="0" w:afterLines="0"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总部企业属于行业认定怎么确定？</w:t>
      </w:r>
    </w:p>
    <w:p>
      <w:pPr>
        <w:pStyle w:val="2"/>
        <w:spacing w:line="560" w:lineRule="exact"/>
        <w:ind w:firstLine="640" w:firstLineChars="200"/>
        <w:jc w:val="left"/>
        <w:rPr>
          <w:rFonts w:hint="eastAsia"/>
          <w:b w:val="0"/>
          <w:bCs/>
          <w:color w:val="auto"/>
          <w:sz w:val="32"/>
          <w:szCs w:val="32"/>
          <w:lang w:val="en-US" w:eastAsia="zh-CN"/>
        </w:rPr>
      </w:pPr>
      <w:r>
        <w:rPr>
          <w:rFonts w:hint="eastAsia" w:ascii="仿宋_GB2312" w:hAnsi="仿宋_GB2312" w:eastAsia="仿宋_GB2312" w:cs="仿宋_GB2312"/>
          <w:b w:val="0"/>
          <w:bCs/>
          <w:color w:val="auto"/>
          <w:sz w:val="32"/>
          <w:szCs w:val="32"/>
        </w:rPr>
        <w:t>确定行业类型时，参照工商注册登记时经营范围、税务部门提供行业类型综合确定。如总部企业及下属企业涉及多元业态、跨行业经营，确定行业类型时以主营业务收入及税收涉及的主要行业确定。</w:t>
      </w:r>
    </w:p>
    <w:p>
      <w:pPr>
        <w:numPr>
          <w:ilvl w:val="0"/>
          <w:numId w:val="0"/>
        </w:numPr>
        <w:spacing w:beforeLines="0" w:afterLines="0"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四、本土培育企业认定条件中</w:t>
      </w:r>
      <w:r>
        <w:rPr>
          <w:rFonts w:hint="eastAsia" w:ascii="黑体" w:hAnsi="黑体" w:eastAsia="黑体" w:cs="黑体"/>
          <w:b w:val="0"/>
          <w:bCs w:val="0"/>
          <w:color w:val="auto"/>
          <w:sz w:val="32"/>
          <w:szCs w:val="32"/>
        </w:rPr>
        <w:t>拥有国家级技术创新平台、省重点实验室或承担国家和省重大科技专项的有效创新标杆企业</w:t>
      </w:r>
      <w:r>
        <w:rPr>
          <w:rFonts w:hint="eastAsia" w:ascii="黑体" w:hAnsi="黑体" w:eastAsia="黑体" w:cs="黑体"/>
          <w:b w:val="0"/>
          <w:bCs w:val="0"/>
          <w:color w:val="auto"/>
          <w:sz w:val="32"/>
          <w:szCs w:val="32"/>
          <w:lang w:eastAsia="zh-CN"/>
        </w:rPr>
        <w:t>如何认定？</w:t>
      </w:r>
    </w:p>
    <w:p>
      <w:pPr>
        <w:pStyle w:val="2"/>
        <w:spacing w:line="560" w:lineRule="exact"/>
        <w:jc w:val="left"/>
        <w:rPr>
          <w:rFonts w:hint="eastAsia" w:ascii="仿宋_GB2312" w:hAnsi="仿宋_GB2312" w:eastAsia="仿宋_GB2312" w:cs="仿宋_GB2312"/>
          <w:b w:val="0"/>
          <w:snapToGrid/>
          <w:color w:val="auto"/>
          <w:spacing w:val="0"/>
          <w:kern w:val="2"/>
          <w:sz w:val="32"/>
          <w:szCs w:val="32"/>
          <w:lang w:val="en-US" w:eastAsia="zh-CN" w:bidi="ar-SA"/>
        </w:rPr>
      </w:pPr>
      <w:r>
        <w:rPr>
          <w:rFonts w:hint="eastAsia" w:ascii="仿宋_GB2312" w:hAnsi="仿宋_GB2312" w:eastAsia="仿宋_GB2312" w:cs="仿宋_GB2312"/>
          <w:b w:val="0"/>
          <w:snapToGrid/>
          <w:color w:val="auto"/>
          <w:spacing w:val="0"/>
          <w:kern w:val="2"/>
          <w:sz w:val="32"/>
          <w:szCs w:val="32"/>
          <w:lang w:val="en-US" w:eastAsia="zh-CN" w:bidi="ar-SA"/>
        </w:rPr>
        <w:t xml:space="preserve">    企业如有相关荣誉可提交证明材料，市总部办会市科技局、发改局对国家级技术创新平台、省重点实验室或承担国家和省重大科技专项的有效创新标杆企业名单给予审核意见。</w:t>
      </w:r>
    </w:p>
    <w:p>
      <w:pPr>
        <w:numPr>
          <w:ilvl w:val="0"/>
          <w:numId w:val="0"/>
        </w:numPr>
        <w:spacing w:beforeLines="0" w:afterLines="0" w:line="560" w:lineRule="exact"/>
        <w:ind w:firstLine="640" w:firstLineChars="200"/>
        <w:rPr>
          <w:rFonts w:hint="eastAsia" w:ascii="黑体" w:hAnsi="黑体" w:eastAsia="黑体" w:cs="黑体"/>
          <w:b w:val="0"/>
          <w:bCs w:val="0"/>
          <w:color w:val="auto"/>
          <w:sz w:val="32"/>
          <w:szCs w:val="32"/>
          <w:highlight w:val="cyan"/>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总部企业奖励政策包括哪些？</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总部企业奖励政策主要包括落户奖、</w:t>
      </w:r>
      <w:r>
        <w:rPr>
          <w:rFonts w:hint="eastAsia" w:ascii="仿宋_GB2312" w:hAnsi="仿宋_GB2312" w:eastAsia="仿宋_GB2312" w:cs="仿宋_GB2312"/>
          <w:color w:val="auto"/>
          <w:sz w:val="32"/>
          <w:szCs w:val="32"/>
          <w:lang w:eastAsia="zh-CN"/>
        </w:rPr>
        <w:t>认定奖、经营</w:t>
      </w:r>
      <w:r>
        <w:rPr>
          <w:rFonts w:hint="eastAsia" w:ascii="仿宋_GB2312" w:hAnsi="仿宋_GB2312" w:eastAsia="仿宋_GB2312" w:cs="仿宋_GB2312"/>
          <w:color w:val="auto"/>
          <w:sz w:val="32"/>
          <w:szCs w:val="32"/>
        </w:rPr>
        <w:t>贡献奖、</w:t>
      </w:r>
      <w:r>
        <w:rPr>
          <w:rFonts w:hint="eastAsia" w:ascii="仿宋_GB2312" w:hAnsi="仿宋_GB2312" w:eastAsia="仿宋_GB2312" w:cs="仿宋_GB2312"/>
          <w:color w:val="auto"/>
          <w:sz w:val="32"/>
          <w:szCs w:val="32"/>
          <w:lang w:eastAsia="zh-CN"/>
        </w:rPr>
        <w:t>办公用房补贴</w:t>
      </w:r>
      <w:r>
        <w:rPr>
          <w:rFonts w:hint="eastAsia" w:ascii="仿宋_GB2312" w:hAnsi="仿宋_GB2312" w:eastAsia="仿宋_GB2312" w:cs="仿宋_GB2312"/>
          <w:color w:val="auto"/>
          <w:sz w:val="32"/>
          <w:szCs w:val="32"/>
        </w:rPr>
        <w:t>、人才奖、子女入学</w:t>
      </w:r>
      <w:r>
        <w:rPr>
          <w:rFonts w:hint="eastAsia" w:ascii="仿宋_GB2312" w:hAnsi="仿宋_GB2312" w:eastAsia="仿宋_GB2312" w:cs="仿宋_GB2312"/>
          <w:color w:val="auto"/>
          <w:sz w:val="32"/>
          <w:szCs w:val="32"/>
          <w:lang w:eastAsia="zh-CN"/>
        </w:rPr>
        <w:t>、购房支持、金融支持、用地支持等</w:t>
      </w:r>
      <w:r>
        <w:rPr>
          <w:rFonts w:hint="eastAsia" w:ascii="仿宋_GB2312" w:hAnsi="仿宋_GB2312" w:eastAsia="仿宋_GB2312" w:cs="仿宋_GB2312"/>
          <w:color w:val="auto"/>
          <w:sz w:val="32"/>
          <w:szCs w:val="32"/>
        </w:rPr>
        <w:t>。</w:t>
      </w:r>
    </w:p>
    <w:p>
      <w:pPr>
        <w:numPr>
          <w:ilvl w:val="0"/>
          <w:numId w:val="0"/>
        </w:numPr>
        <w:spacing w:line="560" w:lineRule="exact"/>
        <w:ind w:left="640" w:leftChars="0"/>
        <w:rPr>
          <w:rFonts w:hint="eastAsia" w:ascii="仿宋_GB2312" w:hAnsi="仿宋_GB2312" w:eastAsia="仿宋_GB2312" w:cs="仿宋_GB2312"/>
          <w:b w:val="0"/>
          <w:snapToGrid/>
          <w:color w:val="auto"/>
          <w:spacing w:val="0"/>
          <w:kern w:val="2"/>
          <w:sz w:val="32"/>
          <w:szCs w:val="32"/>
          <w:lang w:val="en-US" w:eastAsia="zh-CN" w:bidi="ar-SA"/>
        </w:rPr>
      </w:pPr>
      <w:r>
        <w:rPr>
          <w:rFonts w:hint="eastAsia" w:ascii="黑体" w:hAnsi="黑体" w:eastAsia="黑体" w:cs="黑体"/>
          <w:color w:val="auto"/>
          <w:sz w:val="32"/>
          <w:szCs w:val="32"/>
          <w:lang w:val="en-US" w:eastAsia="zh-CN"/>
        </w:rPr>
        <w:t>六、落户奖申报条件和奖励标准是什么？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snapToGrid/>
          <w:color w:val="auto"/>
          <w:spacing w:val="0"/>
          <w:kern w:val="2"/>
          <w:sz w:val="32"/>
          <w:szCs w:val="32"/>
          <w:lang w:val="en-US" w:eastAsia="zh-CN" w:bidi="ar-SA"/>
        </w:rPr>
        <w:t>申报条件参见本解读第一条内容。</w:t>
      </w:r>
      <w:r>
        <w:rPr>
          <w:rFonts w:hint="eastAsia" w:ascii="仿宋_GB2312" w:hAnsi="仿宋_GB2312" w:eastAsia="仿宋_GB2312" w:cs="仿宋_GB2312"/>
          <w:color w:val="auto"/>
          <w:sz w:val="32"/>
          <w:szCs w:val="32"/>
        </w:rPr>
        <w:t>奖励标准分为</w:t>
      </w:r>
      <w:r>
        <w:rPr>
          <w:rFonts w:hint="eastAsia" w:ascii="仿宋_GB2312" w:hAnsi="仿宋_GB2312" w:eastAsia="仿宋_GB2312" w:cs="仿宋_GB2312"/>
          <w:color w:val="auto"/>
          <w:sz w:val="32"/>
          <w:szCs w:val="32"/>
          <w:lang w:eastAsia="zh-CN"/>
        </w:rPr>
        <w:t>两</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u w:val="none"/>
          <w:lang w:val="en-US" w:eastAsia="zh-CN"/>
        </w:rPr>
        <w:t>第一类奖励标准适用于所有新引进企业，第二类奖励标准只适用于通过直接认定方式认定的新引进总部企业，此类企业若不选择第二类奖励，也可选择第一类奖励。</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rightChars="0" w:firstLine="642"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u w:val="none"/>
          <w:shd w:val="clear" w:fill="FFFFFF"/>
        </w:rPr>
      </w:pPr>
      <w:r>
        <w:rPr>
          <w:rFonts w:hint="eastAsia" w:ascii="仿宋_GB2312" w:hAnsi="仿宋_GB2312" w:eastAsia="仿宋_GB2312" w:cs="仿宋_GB2312"/>
          <w:b/>
          <w:bCs/>
          <w:i w:val="0"/>
          <w:caps w:val="0"/>
          <w:color w:val="auto"/>
          <w:spacing w:val="0"/>
          <w:sz w:val="32"/>
          <w:szCs w:val="32"/>
          <w:highlight w:val="none"/>
          <w:u w:val="none"/>
          <w:shd w:val="clear" w:fill="FFFFFF"/>
          <w:lang w:val="en-US" w:eastAsia="zh-CN"/>
        </w:rPr>
        <w:t>第一类奖励标准：</w:t>
      </w:r>
      <w:r>
        <w:rPr>
          <w:rFonts w:hint="eastAsia" w:ascii="仿宋_GB2312" w:hAnsi="仿宋_GB2312" w:eastAsia="仿宋_GB2312" w:cs="仿宋_GB2312"/>
          <w:b w:val="0"/>
          <w:bCs w:val="0"/>
          <w:i w:val="0"/>
          <w:caps w:val="0"/>
          <w:color w:val="auto"/>
          <w:spacing w:val="0"/>
          <w:sz w:val="32"/>
          <w:szCs w:val="32"/>
          <w:highlight w:val="none"/>
          <w:u w:val="none"/>
          <w:shd w:val="clear" w:fill="FFFFFF"/>
        </w:rPr>
        <w:t>新引进企业被认定为总部企业的，认定后的前三年按照企业上年度企业综合效益的100%给予</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资金</w:t>
      </w:r>
      <w:r>
        <w:rPr>
          <w:rFonts w:hint="eastAsia" w:ascii="仿宋_GB2312" w:hAnsi="仿宋_GB2312" w:eastAsia="仿宋_GB2312" w:cs="仿宋_GB2312"/>
          <w:b w:val="0"/>
          <w:bCs w:val="0"/>
          <w:i w:val="0"/>
          <w:caps w:val="0"/>
          <w:color w:val="auto"/>
          <w:spacing w:val="0"/>
          <w:sz w:val="32"/>
          <w:szCs w:val="32"/>
          <w:highlight w:val="none"/>
          <w:u w:val="none"/>
          <w:shd w:val="clear" w:fill="FFFFFF"/>
        </w:rPr>
        <w:t>奖励，第四年、第五年按照企业上年度企业综合效益的50%给予</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资金</w:t>
      </w:r>
      <w:r>
        <w:rPr>
          <w:rFonts w:hint="eastAsia" w:ascii="仿宋_GB2312" w:hAnsi="仿宋_GB2312" w:eastAsia="仿宋_GB2312" w:cs="仿宋_GB2312"/>
          <w:b w:val="0"/>
          <w:bCs w:val="0"/>
          <w:i w:val="0"/>
          <w:caps w:val="0"/>
          <w:color w:val="auto"/>
          <w:spacing w:val="0"/>
          <w:sz w:val="32"/>
          <w:szCs w:val="32"/>
          <w:highlight w:val="none"/>
          <w:u w:val="none"/>
          <w:shd w:val="clear" w:fill="FFFFFF"/>
        </w:rPr>
        <w:t>奖励。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left="0" w:right="0" w:firstLine="642" w:firstLineChars="200"/>
        <w:jc w:val="left"/>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bCs/>
          <w:i w:val="0"/>
          <w:caps w:val="0"/>
          <w:color w:val="auto"/>
          <w:spacing w:val="0"/>
          <w:sz w:val="32"/>
          <w:szCs w:val="32"/>
          <w:highlight w:val="none"/>
          <w:u w:val="none"/>
          <w:shd w:val="clear" w:fill="FFFFFF"/>
          <w:lang w:val="en-US" w:eastAsia="zh-CN"/>
        </w:rPr>
        <w:t>第二类奖励标准：</w:t>
      </w:r>
      <w:r>
        <w:rPr>
          <w:rFonts w:hint="eastAsia" w:ascii="仿宋_GB2312" w:hAnsi="仿宋_GB2312" w:eastAsia="仿宋_GB2312" w:cs="仿宋_GB2312"/>
          <w:b w:val="0"/>
          <w:bCs w:val="0"/>
          <w:i w:val="0"/>
          <w:caps w:val="0"/>
          <w:color w:val="auto"/>
          <w:spacing w:val="0"/>
          <w:sz w:val="32"/>
          <w:szCs w:val="32"/>
          <w:highlight w:val="none"/>
          <w:u w:val="none"/>
          <w:shd w:val="clear" w:fill="FFFFFF"/>
          <w:lang w:val="en-US" w:eastAsia="zh-CN"/>
        </w:rPr>
        <w:t>新引进企业通过直接认定方式被认定为总部企业的，予以一次性奖励</w:t>
      </w:r>
      <w:r>
        <w:rPr>
          <w:rFonts w:hint="eastAsia" w:hAnsi="仿宋_GB2312" w:cs="仿宋_GB2312"/>
          <w:b w:val="0"/>
          <w:bCs w:val="0"/>
          <w:i w:val="0"/>
          <w:caps w:val="0"/>
          <w:color w:val="auto"/>
          <w:spacing w:val="0"/>
          <w:sz w:val="32"/>
          <w:szCs w:val="32"/>
          <w:highlight w:val="none"/>
          <w:u w:val="none"/>
          <w:shd w:val="clear" w:fill="FFFFFF"/>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left="0" w:right="0"/>
        <w:jc w:val="left"/>
        <w:textAlignment w:val="auto"/>
        <w:rPr>
          <w:rFonts w:hint="eastAsia" w:ascii="仿宋_GB2312" w:hAnsi="仿宋_GB2312" w:eastAsia="仿宋_GB2312" w:cs="仿宋_GB2312"/>
          <w:b w:val="0"/>
          <w:bCs w:val="0"/>
          <w:color w:val="auto"/>
          <w:sz w:val="32"/>
          <w:szCs w:val="32"/>
          <w:highlight w:val="none"/>
          <w:u w:val="none"/>
        </w:rPr>
      </w:pPr>
      <w:r>
        <w:rPr>
          <w:rFonts w:hint="eastAsia" w:ascii="仿宋" w:hAnsi="仿宋" w:eastAsia="仿宋" w:cs="仿宋"/>
          <w:b w:val="0"/>
          <w:bCs w:val="0"/>
          <w:i w:val="0"/>
          <w:caps w:val="0"/>
          <w:color w:val="auto"/>
          <w:spacing w:val="0"/>
          <w:sz w:val="32"/>
          <w:szCs w:val="32"/>
          <w:highlight w:val="none"/>
          <w:u w:val="none"/>
          <w:shd w:val="clear" w:fill="FFFFFF"/>
        </w:rPr>
        <w:t>　</w:t>
      </w:r>
      <w:r>
        <w:rPr>
          <w:rFonts w:hint="eastAsia" w:ascii="仿宋_GB2312" w:hAnsi="仿宋_GB2312" w:eastAsia="仿宋_GB2312" w:cs="仿宋_GB2312"/>
          <w:b w:val="0"/>
          <w:bCs w:val="0"/>
          <w:i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b w:val="0"/>
          <w:bCs w:val="0"/>
          <w:i w:val="0"/>
          <w:caps w:val="0"/>
          <w:color w:val="auto"/>
          <w:spacing w:val="0"/>
          <w:sz w:val="32"/>
          <w:szCs w:val="32"/>
          <w:highlight w:val="none"/>
          <w:u w:val="none"/>
          <w:shd w:val="clear" w:fill="FFFFFF"/>
          <w:lang w:val="en-US" w:eastAsia="zh-CN"/>
        </w:rPr>
        <w:t>1</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b w:val="0"/>
          <w:bCs w:val="0"/>
          <w:i w:val="0"/>
          <w:caps w:val="0"/>
          <w:color w:val="auto"/>
          <w:spacing w:val="0"/>
          <w:sz w:val="32"/>
          <w:szCs w:val="32"/>
          <w:highlight w:val="none"/>
          <w:u w:val="none"/>
          <w:shd w:val="clear" w:fill="FFFFFF"/>
        </w:rPr>
        <w:t>世界企业500强、中国企业500强、中国民营企业500强企业总部，分别给予一次性</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最高</w:t>
      </w:r>
      <w:r>
        <w:rPr>
          <w:rFonts w:hint="eastAsia" w:ascii="仿宋_GB2312" w:hAnsi="仿宋_GB2312" w:eastAsia="仿宋_GB2312" w:cs="仿宋_GB2312"/>
          <w:b w:val="0"/>
          <w:bCs w:val="0"/>
          <w:i w:val="0"/>
          <w:caps w:val="0"/>
          <w:color w:val="auto"/>
          <w:spacing w:val="0"/>
          <w:sz w:val="32"/>
          <w:szCs w:val="32"/>
          <w:highlight w:val="none"/>
          <w:u w:val="none"/>
          <w:shd w:val="clear" w:fill="FFFFFF"/>
        </w:rPr>
        <w:t>1亿元、3000万元、2000万元奖励。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left="0" w:right="0"/>
        <w:jc w:val="left"/>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i w:val="0"/>
          <w:caps w:val="0"/>
          <w:color w:val="auto"/>
          <w:spacing w:val="0"/>
          <w:sz w:val="32"/>
          <w:szCs w:val="32"/>
          <w:highlight w:val="none"/>
          <w:u w:val="none"/>
          <w:shd w:val="clear" w:fill="FFFFFF"/>
        </w:rPr>
        <w:t>　</w:t>
      </w:r>
      <w:r>
        <w:rPr>
          <w:rFonts w:hint="eastAsia" w:ascii="仿宋_GB2312" w:hAnsi="仿宋_GB2312" w:eastAsia="仿宋_GB2312" w:cs="仿宋_GB2312"/>
          <w:b w:val="0"/>
          <w:bCs w:val="0"/>
          <w:i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b w:val="0"/>
          <w:bCs w:val="0"/>
          <w:i w:val="0"/>
          <w:caps w:val="0"/>
          <w:color w:val="auto"/>
          <w:spacing w:val="0"/>
          <w:sz w:val="32"/>
          <w:szCs w:val="32"/>
          <w:highlight w:val="none"/>
          <w:u w:val="none"/>
          <w:shd w:val="clear" w:fill="FFFFFF"/>
          <w:lang w:val="en-US" w:eastAsia="zh-CN"/>
        </w:rPr>
        <w:t>2</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b w:val="0"/>
          <w:bCs w:val="0"/>
          <w:i w:val="0"/>
          <w:caps w:val="0"/>
          <w:color w:val="auto"/>
          <w:spacing w:val="0"/>
          <w:sz w:val="32"/>
          <w:szCs w:val="32"/>
          <w:highlight w:val="none"/>
          <w:u w:val="none"/>
          <w:shd w:val="clear" w:fill="FFFFFF"/>
        </w:rPr>
        <w:t>国家和中央部门管理的大企业（集团）总部，给予一次性</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最高</w:t>
      </w:r>
      <w:r>
        <w:rPr>
          <w:rFonts w:hint="eastAsia" w:ascii="仿宋_GB2312" w:hAnsi="仿宋_GB2312" w:eastAsia="仿宋_GB2312" w:cs="仿宋_GB2312"/>
          <w:b w:val="0"/>
          <w:bCs w:val="0"/>
          <w:i w:val="0"/>
          <w:caps w:val="0"/>
          <w:color w:val="auto"/>
          <w:spacing w:val="0"/>
          <w:sz w:val="32"/>
          <w:szCs w:val="32"/>
          <w:highlight w:val="none"/>
          <w:u w:val="none"/>
          <w:shd w:val="clear" w:fill="FFFFFF"/>
        </w:rPr>
        <w:t>2000万元奖励。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left="0" w:right="0"/>
        <w:jc w:val="left"/>
        <w:textAlignment w:val="auto"/>
        <w:rPr>
          <w:rFonts w:hint="eastAsia" w:ascii="仿宋" w:hAnsi="仿宋" w:eastAsia="仿宋" w:cs="仿宋"/>
          <w:b w:val="0"/>
          <w:bCs w:val="0"/>
          <w:color w:val="auto"/>
          <w:sz w:val="32"/>
          <w:szCs w:val="32"/>
          <w:highlight w:val="none"/>
          <w:u w:val="none"/>
        </w:rPr>
      </w:pPr>
      <w:r>
        <w:rPr>
          <w:rFonts w:hint="eastAsia" w:ascii="仿宋_GB2312" w:hAnsi="仿宋_GB2312" w:eastAsia="仿宋_GB2312" w:cs="仿宋_GB2312"/>
          <w:b w:val="0"/>
          <w:bCs w:val="0"/>
          <w:i w:val="0"/>
          <w:caps w:val="0"/>
          <w:color w:val="auto"/>
          <w:spacing w:val="0"/>
          <w:sz w:val="32"/>
          <w:szCs w:val="32"/>
          <w:highlight w:val="none"/>
          <w:u w:val="none"/>
          <w:shd w:val="clear" w:fill="FFFFFF"/>
        </w:rPr>
        <w:t>　</w:t>
      </w:r>
      <w:r>
        <w:rPr>
          <w:rFonts w:hint="eastAsia" w:ascii="仿宋_GB2312" w:hAnsi="仿宋_GB2312" w:eastAsia="仿宋_GB2312" w:cs="仿宋_GB2312"/>
          <w:b w:val="0"/>
          <w:bCs w:val="0"/>
          <w:i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b w:val="0"/>
          <w:bCs w:val="0"/>
          <w:i w:val="0"/>
          <w:caps w:val="0"/>
          <w:color w:val="auto"/>
          <w:spacing w:val="0"/>
          <w:sz w:val="32"/>
          <w:szCs w:val="32"/>
          <w:highlight w:val="none"/>
          <w:u w:val="none"/>
          <w:shd w:val="clear" w:fill="FFFFFF"/>
          <w:lang w:val="en-US" w:eastAsia="zh-CN"/>
        </w:rPr>
        <w:t>3</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b w:val="0"/>
          <w:bCs w:val="0"/>
          <w:i w:val="0"/>
          <w:caps w:val="0"/>
          <w:color w:val="auto"/>
          <w:spacing w:val="0"/>
          <w:sz w:val="32"/>
          <w:szCs w:val="32"/>
          <w:highlight w:val="none"/>
          <w:u w:val="none"/>
          <w:shd w:val="clear" w:fill="FFFFFF"/>
        </w:rPr>
        <w:t>境内A股或香港H股直接上市公司企业总部，给予一次性</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最高</w:t>
      </w:r>
      <w:r>
        <w:rPr>
          <w:rFonts w:hint="eastAsia" w:ascii="仿宋_GB2312" w:hAnsi="仿宋_GB2312" w:eastAsia="仿宋_GB2312" w:cs="仿宋_GB2312"/>
          <w:b w:val="0"/>
          <w:bCs w:val="0"/>
          <w:i w:val="0"/>
          <w:caps w:val="0"/>
          <w:color w:val="auto"/>
          <w:spacing w:val="0"/>
          <w:sz w:val="32"/>
          <w:szCs w:val="32"/>
          <w:highlight w:val="none"/>
          <w:u w:val="none"/>
          <w:shd w:val="clear" w:fill="FFFFFF"/>
        </w:rPr>
        <w:t>1000万元奖励</w:t>
      </w:r>
      <w:r>
        <w:rPr>
          <w:rFonts w:hint="eastAsia" w:ascii="仿宋" w:hAnsi="仿宋" w:eastAsia="仿宋" w:cs="仿宋"/>
          <w:b w:val="0"/>
          <w:bCs w:val="0"/>
          <w:i w:val="0"/>
          <w:caps w:val="0"/>
          <w:color w:val="auto"/>
          <w:spacing w:val="0"/>
          <w:sz w:val="32"/>
          <w:szCs w:val="32"/>
          <w:highlight w:val="none"/>
          <w:u w:val="none"/>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left="0" w:right="0"/>
        <w:jc w:val="left"/>
        <w:textAlignment w:val="auto"/>
        <w:rPr>
          <w:rFonts w:hint="eastAsia" w:ascii="仿宋_GB2312" w:hAnsi="仿宋_GB2312" w:eastAsia="仿宋_GB2312" w:cs="仿宋_GB2312"/>
          <w:b w:val="0"/>
          <w:bCs w:val="0"/>
          <w:color w:val="auto"/>
          <w:sz w:val="32"/>
          <w:szCs w:val="32"/>
          <w:highlight w:val="none"/>
          <w:u w:val="none"/>
        </w:rPr>
      </w:pPr>
      <w:r>
        <w:rPr>
          <w:rFonts w:hint="eastAsia" w:ascii="仿宋" w:hAnsi="仿宋" w:eastAsia="仿宋" w:cs="仿宋"/>
          <w:b w:val="0"/>
          <w:bCs w:val="0"/>
          <w:i w:val="0"/>
          <w:caps w:val="0"/>
          <w:color w:val="auto"/>
          <w:spacing w:val="0"/>
          <w:sz w:val="32"/>
          <w:szCs w:val="32"/>
          <w:highlight w:val="none"/>
          <w:u w:val="none"/>
          <w:shd w:val="clear" w:fill="FFFFFF"/>
        </w:rPr>
        <w:t>　</w:t>
      </w:r>
      <w:r>
        <w:rPr>
          <w:rFonts w:hint="eastAsia" w:ascii="仿宋_GB2312" w:hAnsi="仿宋_GB2312" w:eastAsia="仿宋_GB2312" w:cs="仿宋_GB2312"/>
          <w:b w:val="0"/>
          <w:bCs w:val="0"/>
          <w:i w:val="0"/>
          <w:caps w:val="0"/>
          <w:color w:val="auto"/>
          <w:spacing w:val="0"/>
          <w:sz w:val="32"/>
          <w:szCs w:val="32"/>
          <w:highlight w:val="none"/>
          <w:u w:val="none"/>
          <w:shd w:val="clear" w:fill="FFFFFF"/>
          <w:lang w:val="en-US" w:eastAsia="zh-CN"/>
        </w:rPr>
        <w:t xml:space="preserve"> （4）</w:t>
      </w:r>
      <w:r>
        <w:rPr>
          <w:rFonts w:hint="eastAsia" w:ascii="仿宋_GB2312" w:hAnsi="仿宋_GB2312" w:eastAsia="仿宋_GB2312" w:cs="仿宋_GB2312"/>
          <w:b w:val="0"/>
          <w:bCs w:val="0"/>
          <w:i w:val="0"/>
          <w:caps w:val="0"/>
          <w:color w:val="auto"/>
          <w:spacing w:val="0"/>
          <w:sz w:val="32"/>
          <w:szCs w:val="32"/>
          <w:highlight w:val="none"/>
          <w:u w:val="none"/>
          <w:shd w:val="clear" w:fill="FFFFFF"/>
        </w:rPr>
        <w:t>中国制造业企业500强、中国服务业企业500强企业总部，分别给予一次性</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最高</w:t>
      </w:r>
      <w:r>
        <w:rPr>
          <w:rFonts w:hint="eastAsia" w:ascii="仿宋_GB2312" w:hAnsi="仿宋_GB2312" w:eastAsia="仿宋_GB2312" w:cs="仿宋_GB2312"/>
          <w:b w:val="0"/>
          <w:bCs w:val="0"/>
          <w:i w:val="0"/>
          <w:caps w:val="0"/>
          <w:color w:val="auto"/>
          <w:spacing w:val="0"/>
          <w:sz w:val="32"/>
          <w:szCs w:val="32"/>
          <w:highlight w:val="none"/>
          <w:u w:val="none"/>
          <w:shd w:val="clear" w:fill="FFFFFF"/>
        </w:rPr>
        <w:t>1000万元、500万元奖励。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caps w:val="0"/>
          <w:color w:val="auto"/>
          <w:spacing w:val="0"/>
          <w:sz w:val="32"/>
          <w:szCs w:val="32"/>
          <w:highlight w:val="none"/>
          <w:u w:val="none"/>
          <w:shd w:val="clear" w:fill="FFFFFF"/>
        </w:rPr>
      </w:pPr>
      <w:r>
        <w:rPr>
          <w:rFonts w:hint="eastAsia" w:ascii="仿宋_GB2312" w:hAnsi="仿宋_GB2312" w:eastAsia="仿宋_GB2312" w:cs="仿宋_GB2312"/>
          <w:b w:val="0"/>
          <w:bCs w:val="0"/>
          <w:i w:val="0"/>
          <w:caps w:val="0"/>
          <w:color w:val="auto"/>
          <w:spacing w:val="0"/>
          <w:sz w:val="32"/>
          <w:szCs w:val="32"/>
          <w:highlight w:val="none"/>
          <w:u w:val="none"/>
          <w:shd w:val="clear" w:fill="FFFFFF"/>
        </w:rPr>
        <w:t>其中，央企、世界企业500强、中国企业500强、中国民营企业500强企业设立的二级以上子公司，分别按照引进企业总部标准的30%给予奖励，奖励资金</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在认定后</w:t>
      </w:r>
      <w:r>
        <w:rPr>
          <w:rFonts w:hint="eastAsia" w:ascii="仿宋_GB2312" w:hAnsi="仿宋_GB2312" w:eastAsia="仿宋_GB2312" w:cs="仿宋_GB2312"/>
          <w:b w:val="0"/>
          <w:bCs w:val="0"/>
          <w:i w:val="0"/>
          <w:caps w:val="0"/>
          <w:color w:val="auto"/>
          <w:spacing w:val="0"/>
          <w:sz w:val="32"/>
          <w:szCs w:val="32"/>
          <w:highlight w:val="none"/>
          <w:u w:val="none"/>
          <w:shd w:val="clear" w:fill="FFFFFF"/>
        </w:rPr>
        <w:t>分三年</w:t>
      </w:r>
      <w:r>
        <w:rPr>
          <w:rFonts w:hint="eastAsia" w:ascii="仿宋_GB2312" w:hAnsi="仿宋_GB2312" w:eastAsia="仿宋_GB2312" w:cs="仿宋_GB2312"/>
          <w:b w:val="0"/>
          <w:bCs w:val="0"/>
          <w:i w:val="0"/>
          <w:caps w:val="0"/>
          <w:color w:val="auto"/>
          <w:spacing w:val="0"/>
          <w:sz w:val="32"/>
          <w:szCs w:val="32"/>
          <w:highlight w:val="none"/>
          <w:u w:val="none"/>
          <w:shd w:val="clear" w:fill="FFFFFF"/>
          <w:lang w:eastAsia="zh-CN"/>
        </w:rPr>
        <w:t>按照（</w:t>
      </w:r>
      <w:r>
        <w:rPr>
          <w:rFonts w:hint="eastAsia" w:ascii="仿宋_GB2312" w:hAnsi="仿宋_GB2312" w:eastAsia="仿宋_GB2312" w:cs="仿宋_GB2312"/>
          <w:b w:val="0"/>
          <w:bCs w:val="0"/>
          <w:i w:val="0"/>
          <w:caps w:val="0"/>
          <w:color w:val="auto"/>
          <w:spacing w:val="0"/>
          <w:sz w:val="32"/>
          <w:szCs w:val="32"/>
          <w:highlight w:val="none"/>
          <w:u w:val="none"/>
          <w:shd w:val="clear" w:fill="FFFFFF"/>
          <w:lang w:val="en-US" w:eastAsia="zh-CN"/>
        </w:rPr>
        <w:t>4：3：3）比例</w:t>
      </w:r>
      <w:r>
        <w:rPr>
          <w:rFonts w:hint="eastAsia" w:ascii="仿宋_GB2312" w:hAnsi="仿宋_GB2312" w:eastAsia="仿宋_GB2312" w:cs="仿宋_GB2312"/>
          <w:b w:val="0"/>
          <w:bCs w:val="0"/>
          <w:i w:val="0"/>
          <w:caps w:val="0"/>
          <w:color w:val="auto"/>
          <w:spacing w:val="0"/>
          <w:sz w:val="32"/>
          <w:szCs w:val="32"/>
          <w:highlight w:val="none"/>
          <w:u w:val="none"/>
          <w:shd w:val="clear" w:fill="FFFFFF"/>
        </w:rPr>
        <w:t>给予。</w:t>
      </w:r>
    </w:p>
    <w:p>
      <w:pPr>
        <w:numPr>
          <w:ilvl w:val="0"/>
          <w:numId w:val="0"/>
        </w:numPr>
        <w:spacing w:line="560" w:lineRule="exact"/>
        <w:ind w:left="630" w:leftChars="0"/>
        <w:rPr>
          <w:rFonts w:hint="eastAsia" w:ascii="黑体" w:hAnsi="黑体" w:eastAsia="黑体" w:cs="黑体"/>
          <w:b w:val="0"/>
          <w:bCs w:val="0"/>
          <w:i w:val="0"/>
          <w:caps w:val="0"/>
          <w:color w:val="auto"/>
          <w:spacing w:val="0"/>
          <w:sz w:val="32"/>
          <w:szCs w:val="32"/>
          <w:highlight w:val="none"/>
          <w:u w:val="none"/>
          <w:shd w:val="clear" w:fill="FFFFFF"/>
          <w:lang w:eastAsia="zh-CN"/>
        </w:rPr>
      </w:pPr>
      <w:r>
        <w:rPr>
          <w:rFonts w:hint="eastAsia" w:ascii="黑体" w:hAnsi="黑体" w:eastAsia="黑体" w:cs="黑体"/>
          <w:b w:val="0"/>
          <w:bCs w:val="0"/>
          <w:i w:val="0"/>
          <w:caps w:val="0"/>
          <w:color w:val="auto"/>
          <w:spacing w:val="0"/>
          <w:sz w:val="32"/>
          <w:szCs w:val="32"/>
          <w:highlight w:val="none"/>
          <w:u w:val="none"/>
          <w:shd w:val="clear" w:fill="FFFFFF"/>
          <w:lang w:eastAsia="zh-CN"/>
        </w:rPr>
        <w:t>七、经营贡献奖从哪一年开始可以申报？</w:t>
      </w:r>
    </w:p>
    <w:p>
      <w:pPr>
        <w:pStyle w:val="2"/>
        <w:spacing w:line="560" w:lineRule="exact"/>
        <w:jc w:val="both"/>
        <w:rPr>
          <w:rFonts w:hint="eastAsia" w:ascii="仿宋_GB2312" w:hAnsi="仿宋_GB2312" w:eastAsia="仿宋_GB2312" w:cs="仿宋_GB2312"/>
          <w:b w:val="0"/>
          <w:bCs w:val="0"/>
          <w:i w:val="0"/>
          <w:caps w:val="0"/>
          <w:snapToGrid/>
          <w:color w:val="auto"/>
          <w:spacing w:val="0"/>
          <w:kern w:val="2"/>
          <w:sz w:val="32"/>
          <w:szCs w:val="32"/>
          <w:highlight w:val="none"/>
          <w:u w:val="none"/>
          <w:shd w:val="clear" w:fill="FFFFFF"/>
          <w:lang w:val="en-US" w:eastAsia="zh-CN" w:bidi="ar-SA"/>
        </w:rPr>
      </w:pPr>
      <w:r>
        <w:rPr>
          <w:rFonts w:hint="eastAsia" w:ascii="黑体" w:hAnsi="黑体" w:eastAsia="黑体" w:cs="黑体"/>
          <w:b w:val="0"/>
          <w:bCs w:val="0"/>
          <w:i w:val="0"/>
          <w:caps w:val="0"/>
          <w:color w:val="auto"/>
          <w:spacing w:val="0"/>
          <w:sz w:val="32"/>
          <w:szCs w:val="32"/>
          <w:highlight w:val="none"/>
          <w:u w:val="none"/>
          <w:shd w:val="clear" w:fill="FFFFFF"/>
          <w:lang w:val="en-US" w:eastAsia="zh-CN"/>
        </w:rPr>
        <w:t xml:space="preserve">  </w:t>
      </w:r>
      <w:r>
        <w:rPr>
          <w:rFonts w:hint="eastAsia" w:ascii="仿宋" w:hAnsi="仿宋" w:eastAsia="仿宋" w:cs="仿宋"/>
          <w:b w:val="0"/>
          <w:bCs w:val="0"/>
          <w:i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b w:val="0"/>
          <w:bCs w:val="0"/>
          <w:i w:val="0"/>
          <w:caps w:val="0"/>
          <w:snapToGrid/>
          <w:color w:val="auto"/>
          <w:spacing w:val="0"/>
          <w:kern w:val="2"/>
          <w:sz w:val="32"/>
          <w:szCs w:val="32"/>
          <w:highlight w:val="none"/>
          <w:u w:val="none"/>
          <w:shd w:val="clear" w:fill="FFFFFF"/>
          <w:lang w:val="en-US" w:eastAsia="zh-CN" w:bidi="ar-SA"/>
        </w:rPr>
        <w:t>经营贡献奖认定后第二年符合条件可进行申报，已认定的本土培育总部企业如符合条件每年均可申报，新引进企业在落户奖奖励期限完结后的第二年符合条件可进行申报，以后年份如符合条件每年均可申报。</w:t>
      </w:r>
    </w:p>
    <w:p>
      <w:pPr>
        <w:pStyle w:val="2"/>
        <w:spacing w:line="560" w:lineRule="exact"/>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黑体" w:hAnsi="黑体" w:eastAsia="黑体" w:cs="黑体"/>
          <w:b w:val="0"/>
          <w:bCs/>
          <w:color w:val="auto"/>
          <w:sz w:val="32"/>
          <w:szCs w:val="32"/>
          <w:lang w:val="en-US" w:eastAsia="zh-CN"/>
        </w:rPr>
        <w:t xml:space="preserve">   八、办公用房补贴适用对象和补贴标准是什么？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pPr>
      <w:r>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t>适用对象及范围：办公用房补贴适用于在本市无自持物业（含土地）的已认定的新引进总部企业和本土培育总部企业。办公用房补贴仅适用于购置办公用房，不适用于购买土地。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pPr>
      <w:r>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t>奖励标准：已认定的总部企业在本市首次购置总部自用办公用房（不包括附属设施、配套用房、政策性优惠用房）的，按购房房价的10%给予一次性补助，补助最高不超过1000万元。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pPr>
      <w:r>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t>首次购房是指开具购房发票或签订购买办公用房合同的时间为2022年1月1日（含）之后。证明材料可到中山市自然资源档案馆查阅窗口申请查询打印。</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snapToGrid/>
          <w:color w:val="auto"/>
          <w:spacing w:val="0"/>
          <w:kern w:val="2"/>
          <w:sz w:val="32"/>
          <w:szCs w:val="32"/>
          <w:lang w:val="en-US" w:eastAsia="zh-CN" w:bidi="ar-SA"/>
        </w:rPr>
      </w:pPr>
      <w:r>
        <w:rPr>
          <w:rFonts w:hint="eastAsia" w:ascii="黑体" w:hAnsi="黑体" w:eastAsia="黑体" w:cs="黑体"/>
          <w:b w:val="0"/>
          <w:bCs/>
          <w:snapToGrid/>
          <w:color w:val="auto"/>
          <w:spacing w:val="0"/>
          <w:kern w:val="2"/>
          <w:sz w:val="32"/>
          <w:szCs w:val="32"/>
          <w:lang w:val="en-US" w:eastAsia="zh-CN" w:bidi="ar-SA"/>
        </w:rPr>
        <w:t>九、人才奖励中的“个人税前工资薪金所得”及“个人地方贡献”包括什么？</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rightChars="0" w:firstLine="616" w:firstLineChars="200"/>
        <w:jc w:val="left"/>
        <w:textAlignment w:val="auto"/>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pPr>
      <w:r>
        <w:rPr>
          <w:rFonts w:hint="eastAsia" w:ascii="仿宋_GB2312" w:hAnsi="仿宋_GB2312" w:eastAsia="仿宋_GB2312" w:cs="仿宋_GB2312"/>
          <w:b w:val="0"/>
          <w:bCs w:val="0"/>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rPr>
        <w:t>个人税前</w:t>
      </w:r>
      <w:r>
        <w:rPr>
          <w:rFonts w:hint="eastAsia" w:ascii="仿宋_GB2312" w:hAnsi="仿宋_GB2312" w:eastAsia="仿宋_GB2312" w:cs="仿宋_GB2312"/>
          <w:b w:val="0"/>
          <w:bCs w:val="0"/>
          <w:color w:val="auto"/>
          <w:spacing w:val="-6"/>
          <w:kern w:val="0"/>
          <w:sz w:val="32"/>
          <w:szCs w:val="32"/>
          <w:highlight w:val="none"/>
          <w:u w:val="none"/>
          <w:lang w:eastAsia="zh-CN"/>
        </w:rPr>
        <w:t>工资</w:t>
      </w:r>
      <w:r>
        <w:rPr>
          <w:rFonts w:hint="eastAsia" w:ascii="仿宋_GB2312" w:hAnsi="仿宋_GB2312" w:eastAsia="仿宋_GB2312" w:cs="仿宋_GB2312"/>
          <w:b w:val="0"/>
          <w:bCs w:val="0"/>
          <w:color w:val="auto"/>
          <w:spacing w:val="-6"/>
          <w:kern w:val="0"/>
          <w:sz w:val="32"/>
          <w:szCs w:val="32"/>
          <w:highlight w:val="none"/>
          <w:u w:val="none"/>
        </w:rPr>
        <w:t>薪金所得</w:t>
      </w:r>
      <w:r>
        <w:rPr>
          <w:rFonts w:hint="eastAsia" w:ascii="仿宋_GB2312" w:hAnsi="仿宋_GB2312" w:eastAsia="仿宋_GB2312" w:cs="仿宋_GB2312"/>
          <w:b w:val="0"/>
          <w:bCs w:val="0"/>
          <w:color w:val="auto"/>
          <w:spacing w:val="-6"/>
          <w:kern w:val="0"/>
          <w:sz w:val="32"/>
          <w:szCs w:val="32"/>
          <w:highlight w:val="none"/>
          <w:u w:val="none"/>
          <w:lang w:eastAsia="zh-CN"/>
        </w:rPr>
        <w:t>”是指</w:t>
      </w:r>
      <w:r>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t>个人因任职或者受雇于总部企业（含下属企业）而取得的工资、薪金、奖金、年终加薪、劳动分红、津贴、补贴以及与任职或者受雇有关的其他税前所得。“个人地方贡献”指上一公历年度所属期内（1月1日至12月31日）个人所得税综合所得项目（包括工资薪金、劳务报酬、稿酬所得、特许权使用费四项）的市级、镇街地方财政留存部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i w:val="0"/>
          <w:caps w:val="0"/>
          <w:snapToGrid/>
          <w:color w:val="auto"/>
          <w:spacing w:val="0"/>
          <w:kern w:val="0"/>
          <w:sz w:val="32"/>
          <w:szCs w:val="32"/>
          <w:highlight w:val="none"/>
          <w:u w:val="none"/>
          <w:shd w:val="clear" w:fill="FFFFFF"/>
          <w:lang w:val="en-US" w:eastAsia="zh-CN" w:bidi="ar-SA"/>
        </w:rPr>
      </w:pPr>
      <w:r>
        <w:rPr>
          <w:rFonts w:hint="eastAsia" w:ascii="黑体" w:hAnsi="黑体" w:eastAsia="黑体" w:cs="黑体"/>
          <w:b w:val="0"/>
          <w:bCs w:val="0"/>
          <w:i w:val="0"/>
          <w:caps w:val="0"/>
          <w:snapToGrid/>
          <w:color w:val="auto"/>
          <w:spacing w:val="0"/>
          <w:kern w:val="0"/>
          <w:sz w:val="32"/>
          <w:szCs w:val="32"/>
          <w:highlight w:val="none"/>
          <w:u w:val="none"/>
          <w:shd w:val="clear" w:fill="FFFFFF"/>
          <w:lang w:val="en-US" w:eastAsia="zh-CN" w:bidi="ar-SA"/>
        </w:rPr>
        <w:t>十、总部企业（不含子公司）董事长子女的学位是否占用企业分配的名额？</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pPr>
      <w:r>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t>总部企业（不含子公司）董事长子女可安排市直属学位，不占用企业分配的名额。</w:t>
      </w:r>
    </w:p>
    <w:p>
      <w:pPr>
        <w:spacing w:beforeLines="0" w:afterLines="0"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十一、</w:t>
      </w:r>
      <w:r>
        <w:rPr>
          <w:rFonts w:hint="eastAsia" w:ascii="黑体" w:hAnsi="黑体" w:eastAsia="黑体" w:cs="黑体"/>
          <w:b w:val="0"/>
          <w:bCs w:val="0"/>
          <w:color w:val="auto"/>
          <w:sz w:val="32"/>
          <w:szCs w:val="32"/>
        </w:rPr>
        <w:t>人才奖和人才子女入学对总部企业人才如何界定？</w:t>
      </w:r>
    </w:p>
    <w:p>
      <w:pPr>
        <w:spacing w:beforeLines="0" w:afterLines="0" w:line="560" w:lineRule="exact"/>
        <w:ind w:firstLine="640" w:firstLineChars="200"/>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总部企业人才是指与企业建立劳动关系并参加社会保险1年（含）以上的</w:t>
      </w:r>
      <w:r>
        <w:rPr>
          <w:rFonts w:hint="eastAsia" w:ascii="仿宋_GB2312" w:hAnsi="仿宋_GB2312" w:eastAsia="仿宋_GB2312" w:cs="仿宋_GB2312"/>
          <w:color w:val="auto"/>
          <w:sz w:val="32"/>
          <w:szCs w:val="32"/>
          <w:lang w:eastAsia="zh-CN"/>
        </w:rPr>
        <w:t>人才</w:t>
      </w:r>
      <w:r>
        <w:rPr>
          <w:rFonts w:hint="eastAsia" w:ascii="仿宋_GB2312" w:hAnsi="仿宋_GB2312" w:eastAsia="仿宋_GB2312" w:cs="仿宋_GB2312"/>
          <w:color w:val="auto"/>
          <w:sz w:val="32"/>
          <w:szCs w:val="32"/>
        </w:rPr>
        <w:t>。劳动关系应合法合规，须与用人企业签订正式劳动合同。劳务派遣的人员无劳动合同，只有派遣协议不属于企业人才。</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i w:val="0"/>
          <w:caps w:val="0"/>
          <w:snapToGrid/>
          <w:color w:val="auto"/>
          <w:spacing w:val="0"/>
          <w:kern w:val="0"/>
          <w:sz w:val="32"/>
          <w:szCs w:val="32"/>
          <w:highlight w:val="none"/>
          <w:u w:val="none"/>
          <w:shd w:val="clear" w:fill="FFFFFF"/>
          <w:lang w:val="en-US" w:eastAsia="zh-CN" w:bidi="ar-SA"/>
        </w:rPr>
      </w:pPr>
      <w:r>
        <w:rPr>
          <w:rFonts w:hint="eastAsia" w:ascii="黑体" w:hAnsi="黑体" w:eastAsia="黑体" w:cs="黑体"/>
          <w:b w:val="0"/>
          <w:bCs w:val="0"/>
          <w:i w:val="0"/>
          <w:caps w:val="0"/>
          <w:snapToGrid/>
          <w:color w:val="auto"/>
          <w:spacing w:val="0"/>
          <w:kern w:val="0"/>
          <w:sz w:val="32"/>
          <w:szCs w:val="32"/>
          <w:highlight w:val="none"/>
          <w:u w:val="none"/>
          <w:shd w:val="clear" w:fill="FFFFFF"/>
          <w:lang w:val="en-US" w:eastAsia="zh-CN" w:bidi="ar-SA"/>
        </w:rPr>
        <w:t>十二、已认定的总部企业如何进行年度评估？</w:t>
      </w:r>
    </w:p>
    <w:p>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已认定的</w:t>
      </w:r>
      <w:r>
        <w:rPr>
          <w:rFonts w:hint="eastAsia" w:ascii="仿宋_GB2312" w:hAnsi="仿宋_GB2312" w:eastAsia="仿宋_GB2312" w:cs="仿宋_GB2312"/>
          <w:color w:val="auto"/>
          <w:sz w:val="32"/>
          <w:szCs w:val="32"/>
        </w:rPr>
        <w:t>总部企业</w:t>
      </w:r>
      <w:r>
        <w:rPr>
          <w:rFonts w:hint="eastAsia" w:ascii="仿宋_GB2312" w:hAnsi="仿宋_GB2312" w:eastAsia="仿宋_GB2312" w:cs="仿宋_GB2312"/>
          <w:color w:val="auto"/>
          <w:sz w:val="32"/>
          <w:szCs w:val="32"/>
          <w:lang w:val="en-US" w:eastAsia="zh-CN"/>
        </w:rPr>
        <w:t>原则上每三年按照《实施办法》第二章认定标准进行资格复审，但需于每年6月底前，提交企业上一年度经营情况报告上报所在镇街，所在镇街审核后，出具审核结果报市总部办备案。当年度评估如有不符合总部企业基本条件或不符合总部企业申报标准，暂停享受任何资金奖励和入学服务</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i w:val="0"/>
          <w:caps w:val="0"/>
          <w:snapToGrid/>
          <w:color w:val="auto"/>
          <w:spacing w:val="0"/>
          <w:kern w:val="0"/>
          <w:sz w:val="32"/>
          <w:szCs w:val="32"/>
          <w:highlight w:val="none"/>
          <w:u w:val="none"/>
          <w:shd w:val="clear" w:fill="FFFFFF"/>
          <w:lang w:val="en-US" w:eastAsia="zh-CN" w:bidi="ar-SA"/>
        </w:rPr>
      </w:pPr>
      <w:r>
        <w:rPr>
          <w:rFonts w:hint="eastAsia" w:ascii="黑体" w:hAnsi="黑体" w:eastAsia="黑体" w:cs="黑体"/>
          <w:b w:val="0"/>
          <w:bCs w:val="0"/>
          <w:i w:val="0"/>
          <w:caps w:val="0"/>
          <w:snapToGrid/>
          <w:color w:val="auto"/>
          <w:spacing w:val="0"/>
          <w:kern w:val="0"/>
          <w:sz w:val="32"/>
          <w:szCs w:val="32"/>
          <w:highlight w:val="none"/>
          <w:u w:val="none"/>
          <w:shd w:val="clear" w:fill="FFFFFF"/>
          <w:lang w:val="en-US" w:eastAsia="zh-CN" w:bidi="ar-SA"/>
        </w:rPr>
        <w:t>十三、总部企业认定、奖励、人才子女入学等申报和受理机构是哪些？</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pPr>
      <w:r>
        <w:rPr>
          <w:rFonts w:hint="eastAsia" w:ascii="仿宋_GB2312" w:hAnsi="仿宋_GB2312" w:eastAsia="仿宋_GB2312" w:cs="仿宋_GB2312"/>
          <w:b w:val="0"/>
          <w:bCs w:val="0"/>
          <w:i w:val="0"/>
          <w:caps w:val="0"/>
          <w:snapToGrid/>
          <w:color w:val="auto"/>
          <w:spacing w:val="0"/>
          <w:kern w:val="0"/>
          <w:sz w:val="32"/>
          <w:szCs w:val="32"/>
          <w:highlight w:val="none"/>
          <w:u w:val="none"/>
          <w:shd w:val="clear" w:fill="FFFFFF"/>
          <w:lang w:val="en-US" w:eastAsia="zh-CN" w:bidi="ar-SA"/>
        </w:rPr>
        <w:t>市总部办（市发改局）负责下发总部企业的认定、奖励申报通知，其中新引进总部企业（不含直接认定）的受理单位为市招商引资工作指挥部，其余均为市总部办统筹负责。人才子女入学申报通知由中山国际人才港服务中心下发，并对材料进行初审，交由市总部办复审，学位安排由市教体局负责。</w:t>
      </w:r>
    </w:p>
    <w:p>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rightChars="0" w:firstLine="640" w:firstLineChars="200"/>
        <w:jc w:val="left"/>
        <w:textAlignment w:val="auto"/>
        <w:rPr>
          <w:rFonts w:hint="eastAsia" w:ascii="黑体" w:hAnsi="黑体" w:eastAsia="黑体" w:cs="黑体"/>
          <w:color w:val="auto"/>
          <w:kern w:val="0"/>
          <w:sz w:val="32"/>
          <w:szCs w:val="32"/>
          <w:highlight w:val="none"/>
          <w:u w:val="none"/>
          <w:shd w:val="clear" w:fill="FFFFFF"/>
          <w:lang w:eastAsia="zh-CN"/>
        </w:rPr>
      </w:pPr>
      <w:r>
        <w:rPr>
          <w:rFonts w:hint="eastAsia" w:ascii="黑体" w:hAnsi="黑体" w:eastAsia="黑体" w:cs="黑体"/>
          <w:color w:val="auto"/>
          <w:kern w:val="0"/>
          <w:sz w:val="32"/>
          <w:szCs w:val="32"/>
          <w:highlight w:val="none"/>
          <w:u w:val="none"/>
          <w:shd w:val="clear" w:fill="FFFFFF"/>
          <w:lang w:eastAsia="zh-CN"/>
        </w:rPr>
        <w:t>十四、</w:t>
      </w:r>
      <w:r>
        <w:rPr>
          <w:rFonts w:hint="eastAsia" w:ascii="黑体" w:hAnsi="黑体" w:eastAsia="黑体" w:cs="黑体"/>
          <w:color w:val="auto"/>
          <w:kern w:val="0"/>
          <w:sz w:val="32"/>
          <w:szCs w:val="32"/>
          <w:highlight w:val="none"/>
          <w:u w:val="none"/>
          <w:shd w:val="clear" w:fill="FFFFFF"/>
        </w:rPr>
        <w:t>市国资委管理的市属集团以及镇街公有资产公司</w:t>
      </w:r>
      <w:r>
        <w:rPr>
          <w:rFonts w:hint="eastAsia" w:ascii="黑体" w:hAnsi="黑体" w:eastAsia="黑体" w:cs="黑体"/>
          <w:color w:val="auto"/>
          <w:kern w:val="0"/>
          <w:sz w:val="32"/>
          <w:szCs w:val="32"/>
          <w:highlight w:val="none"/>
          <w:u w:val="none"/>
          <w:shd w:val="clear" w:fill="FFFFFF"/>
          <w:lang w:eastAsia="zh-CN"/>
        </w:rPr>
        <w:t>若认定为市总部企业，可享受哪些优惠政策？</w:t>
      </w:r>
    </w:p>
    <w:p>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rightChars="0" w:firstLine="0" w:firstLineChars="0"/>
        <w:jc w:val="left"/>
        <w:textAlignment w:val="auto"/>
        <w:rPr>
          <w:rFonts w:hint="default" w:ascii="黑体" w:hAnsi="黑体" w:eastAsia="黑体" w:cs="黑体"/>
          <w:color w:val="auto"/>
          <w:kern w:val="0"/>
          <w:sz w:val="32"/>
          <w:szCs w:val="32"/>
          <w:highlight w:val="none"/>
          <w:u w:val="none"/>
          <w:shd w:val="clear" w:fill="FFFFFF"/>
          <w:lang w:val="en-US" w:eastAsia="zh-CN"/>
        </w:rPr>
      </w:pPr>
      <w:r>
        <w:rPr>
          <w:rFonts w:hint="eastAsia" w:ascii="黑体" w:hAnsi="黑体" w:eastAsia="黑体" w:cs="黑体"/>
          <w:color w:val="auto"/>
          <w:kern w:val="0"/>
          <w:sz w:val="32"/>
          <w:szCs w:val="32"/>
          <w:highlight w:val="none"/>
          <w:u w:val="none"/>
          <w:shd w:val="clear" w:fill="FFFFFF"/>
          <w:lang w:val="en-US" w:eastAsia="zh-CN"/>
        </w:rPr>
        <w:t xml:space="preserve">    </w:t>
      </w:r>
      <w:r>
        <w:rPr>
          <w:rFonts w:hint="eastAsia" w:ascii="仿宋_GB2312" w:hAnsi="仿宋_GB2312" w:eastAsia="仿宋_GB2312" w:cs="仿宋_GB2312"/>
          <w:color w:val="auto"/>
          <w:kern w:val="0"/>
          <w:sz w:val="32"/>
          <w:szCs w:val="32"/>
          <w:highlight w:val="none"/>
          <w:u w:val="none"/>
          <w:shd w:val="clear" w:fill="FFFFFF"/>
        </w:rPr>
        <w:t>市国资委管理的市属集团以及镇街公有资产公司</w:t>
      </w:r>
      <w:r>
        <w:rPr>
          <w:rFonts w:hint="eastAsia" w:ascii="仿宋_GB2312" w:hAnsi="仿宋_GB2312" w:eastAsia="仿宋_GB2312" w:cs="仿宋_GB2312"/>
          <w:color w:val="auto"/>
          <w:kern w:val="0"/>
          <w:sz w:val="32"/>
          <w:szCs w:val="32"/>
          <w:highlight w:val="none"/>
          <w:u w:val="none"/>
          <w:shd w:val="clear" w:fill="FFFFFF"/>
          <w:lang w:eastAsia="zh-CN"/>
        </w:rPr>
        <w:t>如符合总部企业认定条件可认定为市总部企业，通过认定后可享受子女入学、购房、用地、金融、政务服务绿色通道等优惠政策，但不享受资金扶持。</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right="0" w:rightChars="0" w:firstLine="640" w:firstLineChars="200"/>
        <w:jc w:val="left"/>
        <w:textAlignment w:val="auto"/>
        <w:rPr>
          <w:rFonts w:ascii="宋体" w:hAnsi="宋体" w:eastAsia="宋体" w:cs="宋体"/>
          <w:color w:val="auto"/>
          <w:sz w:val="24"/>
          <w:szCs w:val="24"/>
        </w:rPr>
      </w:pPr>
      <w:r>
        <w:rPr>
          <w:rFonts w:hint="eastAsia" w:ascii="黑体" w:hAnsi="黑体" w:eastAsia="黑体" w:cs="黑体"/>
          <w:color w:val="auto"/>
          <w:sz w:val="32"/>
          <w:szCs w:val="32"/>
          <w:lang w:eastAsia="zh-CN"/>
        </w:rPr>
        <w:t>十五、</w:t>
      </w:r>
      <w:r>
        <w:rPr>
          <w:rFonts w:hint="eastAsia" w:ascii="黑体" w:hAnsi="黑体" w:eastAsia="黑体" w:cs="黑体"/>
          <w:color w:val="auto"/>
          <w:sz w:val="32"/>
          <w:szCs w:val="32"/>
        </w:rPr>
        <w:t>营业收入、经济贡献、企业综合效益、研发投入强度具体是指什么？</w:t>
      </w:r>
    </w:p>
    <w:p>
      <w:pPr>
        <w:pStyle w:val="3"/>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（一）“营业收入”指企业税款所属期为上一年的企业所得税年度纳税申报表填写的营业收入。</w:t>
      </w:r>
    </w:p>
    <w:p>
      <w:pPr>
        <w:pStyle w:val="3"/>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经济贡献”指上一公历年度内（1月1日至12月31日）由企业所得税、增值税（含免抵调库）、印花税、城市维护建设税、教育费附加、地方教育费附加、房产税、城镇土地使用税、文化事业建设费的入库税款总计，但不包括关税、代扣代缴个人所得税及因在中山购买土地、房产因此而产生的相关税费</w:t>
      </w:r>
      <w:r>
        <w:rPr>
          <w:rFonts w:hint="eastAsia" w:ascii="仿宋_GB2312" w:hAnsi="仿宋_GB2312" w:eastAsia="仿宋_GB2312" w:cs="仿宋_GB2312"/>
          <w:color w:val="auto"/>
          <w:sz w:val="32"/>
          <w:szCs w:val="32"/>
          <w:lang w:eastAsia="zh-CN"/>
        </w:rPr>
        <w:t>。</w:t>
      </w:r>
    </w:p>
    <w:p>
      <w:pPr>
        <w:pStyle w:val="3"/>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企业综合效益”指税收地方留成部分*80%+营业收入增量*0.1%+净利润增量*1%。其中税收地方留成部分包括企业所得税、增值税（含免抵调库）、印花税、城市维护建设税、教育费附加、地方教育费附加、房产税、城镇土地使用税、文化事业建设费的入库税款市级、镇街地方财政留存部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）“研发投入强度”指企业研究开发费用总额占销售收入总额的比例。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0" w:beforeAutospacing="0" w:after="0" w:afterAutospacing="0" w:line="560" w:lineRule="exact"/>
        <w:ind w:leftChars="0" w:right="0" w:rightChars="0" w:firstLine="0"/>
        <w:jc w:val="left"/>
        <w:textAlignment w:val="auto"/>
        <w:rPr>
          <w:rFonts w:hint="default" w:ascii="仿宋_GB2312" w:hAnsi="仿宋_GB2312" w:eastAsia="仿宋_GB2312" w:cs="仿宋_GB2312"/>
          <w:b w:val="0"/>
          <w:bCs w:val="0"/>
          <w:i w:val="0"/>
          <w:caps w:val="0"/>
          <w:snapToGrid/>
          <w:color w:val="000000" w:themeColor="text1"/>
          <w:spacing w:val="0"/>
          <w:kern w:val="0"/>
          <w:sz w:val="32"/>
          <w:szCs w:val="32"/>
          <w:highlight w:val="none"/>
          <w:u w:val="none"/>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caps w:val="0"/>
          <w:snapToGrid/>
          <w:color w:val="000000" w:themeColor="text1"/>
          <w:spacing w:val="0"/>
          <w:kern w:val="0"/>
          <w:sz w:val="32"/>
          <w:szCs w:val="32"/>
          <w:highlight w:val="none"/>
          <w:u w:val="none"/>
          <w:shd w:val="clear" w:fill="FFFFFF"/>
          <w:lang w:val="en-US" w:eastAsia="zh-CN" w:bidi="ar-SA"/>
          <w14:textFill>
            <w14:solidFill>
              <w14:schemeClr w14:val="tx1"/>
            </w14:solidFill>
          </w14:textFill>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left"/>
        <w:rPr>
          <w:rFonts w:hint="eastAsia" w:ascii="黑体" w:hAnsi="黑体" w:eastAsia="黑体" w:cs="黑体"/>
          <w:kern w:val="2"/>
          <w:sz w:val="32"/>
          <w:szCs w:val="32"/>
          <w:lang w:val="en-US" w:eastAsia="zh-CN" w:bidi="ar-SA"/>
        </w:rPr>
      </w:pPr>
    </w:p>
    <w:sectPr>
      <w:footerReference r:id="rId3" w:type="default"/>
      <w:pgSz w:w="11906" w:h="16838"/>
      <w:pgMar w:top="2098" w:right="1587" w:bottom="1984" w:left="1587" w:header="850"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公文小标宋简">
    <w:altName w:val="方正小标宋_GBK"/>
    <w:panose1 w:val="02010609010101010101"/>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D79A"/>
    <w:multiLevelType w:val="singleLevel"/>
    <w:tmpl w:val="1791D7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149EE"/>
    <w:rsid w:val="02E210CF"/>
    <w:rsid w:val="17C14018"/>
    <w:rsid w:val="195B369B"/>
    <w:rsid w:val="1AF47397"/>
    <w:rsid w:val="24A149EE"/>
    <w:rsid w:val="285E43A8"/>
    <w:rsid w:val="378C080F"/>
    <w:rsid w:val="39AA4426"/>
    <w:rsid w:val="4164671E"/>
    <w:rsid w:val="43483229"/>
    <w:rsid w:val="454A2122"/>
    <w:rsid w:val="457F6846"/>
    <w:rsid w:val="48D168BD"/>
    <w:rsid w:val="51D736DE"/>
    <w:rsid w:val="528B5B20"/>
    <w:rsid w:val="5ABD2381"/>
    <w:rsid w:val="5FB56CCD"/>
    <w:rsid w:val="665153C1"/>
    <w:rsid w:val="7CD921CF"/>
    <w:rsid w:val="ADBF539A"/>
    <w:rsid w:val="FFAF9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autoSpaceDE/>
      <w:autoSpaceDN/>
      <w:adjustRightInd/>
      <w:snapToGrid/>
      <w:spacing w:line="240" w:lineRule="auto"/>
      <w:jc w:val="center"/>
      <w:outlineLvl w:val="3"/>
    </w:pPr>
    <w:rPr>
      <w:rFonts w:ascii="Calibri" w:hAnsi="Calibri" w:eastAsia="公文小标宋简" w:cs="Times New Roman"/>
      <w:b/>
      <w:snapToGrid/>
      <w:spacing w:val="0"/>
      <w:kern w:val="2"/>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qFormat/>
    <w:uiPriority w:val="0"/>
    <w:pPr>
      <w:spacing w:after="120"/>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中山市大涌镇人民政府</Company>
  <Pages>1</Pages>
  <Words>0</Words>
  <Characters>0</Characters>
  <Lines>0</Lines>
  <Paragraphs>0</Paragraphs>
  <TotalTime>15</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2022-08-04T17:30:00Z</dcterms:created>
  <dc:creator>李叶</dc:creator>
  <cp:lastModifiedBy>bgs</cp:lastModifiedBy>
  <dcterms:modified xsi:type="dcterms:W3CDTF">2022-10-10T17:34:25Z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0F58D6E036494F3388670D1A90E994B2</vt:lpwstr>
  </property>
</Properties>
</file>