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440"/>
          <w:tab w:val="left" w:pos="1800"/>
        </w:tabs>
        <w:spacing w:line="578" w:lineRule="exact"/>
        <w:rPr>
          <w:rFonts w:hint="eastAsia" w:ascii="黑体" w:hAnsi="黑体" w:eastAsia="黑体" w:cs="黑体"/>
          <w:color w:val="000000"/>
        </w:rPr>
      </w:pPr>
      <w:r>
        <w:rPr>
          <w:rFonts w:hint="eastAsia" w:ascii="黑体" w:hAnsi="黑体" w:eastAsia="黑体" w:cs="黑体"/>
          <w:color w:val="000000"/>
        </w:rPr>
        <w:t>附件1</w:t>
      </w:r>
    </w:p>
    <w:p>
      <w:pPr>
        <w:tabs>
          <w:tab w:val="left" w:pos="1440"/>
          <w:tab w:val="left" w:pos="1800"/>
        </w:tabs>
        <w:spacing w:line="578" w:lineRule="exact"/>
        <w:rPr>
          <w:rFonts w:ascii="仿宋_GB2312" w:hAnsi="宋体"/>
          <w:color w:val="000000"/>
        </w:rPr>
      </w:pP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2022年度香洲区科技创业孵化载体认定</w:t>
      </w: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仿宋_GB2312" w:hAnsi="仿宋_GB2312" w:cs="仿宋_GB2312"/>
          <w:bCs/>
        </w:rPr>
      </w:pPr>
      <w:r>
        <w:rPr>
          <w:rFonts w:hint="eastAsia" w:ascii="方正小标宋简体" w:hAnsi="方正小标宋简体" w:eastAsia="方正小标宋简体" w:cs="方正小标宋简体"/>
          <w:bCs/>
          <w:sz w:val="44"/>
          <w:szCs w:val="44"/>
        </w:rPr>
        <w:t>申报指南</w:t>
      </w:r>
    </w:p>
    <w:p>
      <w:pPr>
        <w:widowControl/>
        <w:spacing w:line="578" w:lineRule="exact"/>
        <w:ind w:firstLine="640" w:firstLineChars="200"/>
        <w:jc w:val="left"/>
        <w:rPr>
          <w:rFonts w:ascii="黑体" w:hAnsi="宋体" w:eastAsia="黑体" w:cs="宋体"/>
          <w:kern w:val="0"/>
        </w:rPr>
      </w:pPr>
    </w:p>
    <w:p>
      <w:pPr>
        <w:widowControl/>
        <w:spacing w:line="578" w:lineRule="exact"/>
        <w:ind w:firstLine="616" w:firstLineChars="200"/>
        <w:jc w:val="left"/>
        <w:rPr>
          <w:rFonts w:hint="eastAsia" w:ascii="黑体" w:hAnsi="黑体" w:eastAsia="黑体" w:cs="黑体"/>
          <w:b w:val="0"/>
          <w:bCs/>
          <w:spacing w:val="-6"/>
        </w:rPr>
      </w:pPr>
      <w:r>
        <w:rPr>
          <w:rFonts w:hint="eastAsia" w:ascii="黑体" w:hAnsi="黑体" w:eastAsia="黑体" w:cs="黑体"/>
          <w:b w:val="0"/>
          <w:bCs/>
          <w:spacing w:val="-6"/>
          <w:lang w:eastAsia="zh-CN"/>
        </w:rPr>
        <w:t>一、</w:t>
      </w:r>
      <w:r>
        <w:rPr>
          <w:rFonts w:hint="eastAsia" w:ascii="黑体" w:hAnsi="黑体" w:eastAsia="黑体" w:cs="黑体"/>
          <w:b w:val="0"/>
          <w:bCs/>
          <w:spacing w:val="-6"/>
        </w:rPr>
        <w:t xml:space="preserve">申报对象 </w:t>
      </w:r>
    </w:p>
    <w:p>
      <w:pPr>
        <w:widowControl/>
        <w:spacing w:line="578" w:lineRule="exact"/>
        <w:ind w:firstLine="640" w:firstLineChars="200"/>
        <w:jc w:val="left"/>
        <w:rPr>
          <w:rFonts w:hint="eastAsia" w:ascii="仿宋_GB2312" w:hAnsi="仿宋_GB2312" w:cs="仿宋_GB2312"/>
          <w:bCs/>
          <w:color w:val="000000"/>
        </w:rPr>
      </w:pPr>
      <w:r>
        <w:rPr>
          <w:rFonts w:hint="eastAsia" w:ascii="仿宋_GB2312" w:hAnsi="仿宋_GB2312" w:cs="仿宋_GB2312"/>
          <w:bCs/>
          <w:color w:val="000000"/>
          <w:lang w:val="en-US" w:eastAsia="zh-CN"/>
        </w:rPr>
        <w:t>在香洲区</w:t>
      </w:r>
      <w:r>
        <w:rPr>
          <w:rFonts w:hint="eastAsia" w:ascii="仿宋_GB2312" w:hAnsi="仿宋_GB2312" w:cs="仿宋_GB2312"/>
          <w:bCs/>
          <w:color w:val="000000"/>
          <w:lang w:eastAsia="zh-CN"/>
        </w:rPr>
        <w:t>范围内，</w:t>
      </w:r>
      <w:r>
        <w:rPr>
          <w:rFonts w:hint="eastAsia" w:ascii="仿宋_GB2312" w:hAnsi="仿宋_GB2312" w:cs="仿宋_GB2312"/>
          <w:bCs/>
          <w:color w:val="000000"/>
        </w:rPr>
        <w:t>结合区产业发展方向，为创业企业孵化、加速发展等不同阶段提供包括创业场地、共享设施、技术服务、政策咨询、投资融资、创业辅导、资源对接及市场拓展等精准服务，降低创业成本，提高创业成功率，促进企业成长，加速企业做大做强的孵化载体，涵盖科技企业专业孵化器、港澳台科技企业孵化器。</w:t>
      </w:r>
    </w:p>
    <w:p>
      <w:pPr>
        <w:widowControl/>
        <w:spacing w:line="578" w:lineRule="exact"/>
        <w:ind w:firstLine="616" w:firstLineChars="200"/>
        <w:jc w:val="left"/>
        <w:rPr>
          <w:rFonts w:hint="eastAsia" w:ascii="黑体" w:hAnsi="黑体" w:eastAsia="黑体" w:cs="黑体"/>
          <w:b w:val="0"/>
          <w:bCs/>
          <w:spacing w:val="-6"/>
        </w:rPr>
      </w:pPr>
      <w:r>
        <w:rPr>
          <w:rFonts w:hint="eastAsia" w:ascii="黑体" w:hAnsi="黑体" w:eastAsia="黑体" w:cs="黑体"/>
          <w:b w:val="0"/>
          <w:bCs/>
          <w:spacing w:val="-6"/>
          <w:lang w:eastAsia="zh-CN"/>
        </w:rPr>
        <w:t>二、</w:t>
      </w:r>
      <w:r>
        <w:rPr>
          <w:rFonts w:hint="eastAsia" w:ascii="黑体" w:hAnsi="黑体" w:eastAsia="黑体" w:cs="黑体"/>
          <w:b w:val="0"/>
          <w:bCs/>
          <w:spacing w:val="-6"/>
        </w:rPr>
        <w:t>申报条件</w:t>
      </w:r>
    </w:p>
    <w:p>
      <w:pPr>
        <w:widowControl/>
        <w:spacing w:line="578" w:lineRule="exact"/>
        <w:ind w:firstLine="640" w:firstLineChars="200"/>
        <w:jc w:val="left"/>
        <w:rPr>
          <w:rFonts w:ascii="仿宋_GB2312" w:hAnsi="宋体"/>
          <w:color w:val="000000"/>
        </w:rPr>
      </w:pPr>
      <w:r>
        <w:rPr>
          <w:rFonts w:hint="eastAsia" w:ascii="仿宋_GB2312" w:hAnsi="宋体"/>
          <w:color w:val="000000"/>
        </w:rPr>
        <w:t>根据《珠海市香洲区科技创业孵化载体管理和扶持暂行办法》（珠香府办〔2021〕8号）中对香洲区科技企业专业孵化器认定条件，申请对象应同时具备以下条件：</w:t>
      </w:r>
    </w:p>
    <w:p>
      <w:pPr>
        <w:keepNext w:val="0"/>
        <w:keepLines w:val="0"/>
        <w:pageBreakBefore w:val="0"/>
        <w:widowControl/>
        <w:kinsoku/>
        <w:wordWrap/>
        <w:overflowPunct/>
        <w:topLinePunct w:val="0"/>
        <w:autoSpaceDE/>
        <w:autoSpaceDN/>
        <w:bidi w:val="0"/>
        <w:adjustRightInd/>
        <w:snapToGrid/>
        <w:spacing w:line="578" w:lineRule="exact"/>
        <w:ind w:firstLine="640" w:firstLineChars="200"/>
        <w:jc w:val="left"/>
        <w:textAlignment w:val="auto"/>
        <w:rPr>
          <w:rFonts w:hint="eastAsia" w:ascii="仿宋_GB2312" w:hAnsi="宋体" w:cs="微软雅黑"/>
          <w:color w:val="000000"/>
          <w:kern w:val="0"/>
        </w:rPr>
      </w:pPr>
      <w:r>
        <w:rPr>
          <w:rFonts w:hint="eastAsia" w:ascii="仿宋_GB2312" w:hAnsi="宋体" w:cs="微软雅黑"/>
          <w:color w:val="000000"/>
          <w:kern w:val="0"/>
        </w:rPr>
        <w:t>（一）运营主体为香洲区内注册的独立法人，具备完善的运营管理体系和孵化服务机制，以及明确的发展方向和目标；具备完善的内部管理制度和财务制度，实际注册并运营满1年。</w:t>
      </w:r>
    </w:p>
    <w:p>
      <w:pPr>
        <w:keepNext w:val="0"/>
        <w:keepLines w:val="0"/>
        <w:pageBreakBefore w:val="0"/>
        <w:widowControl/>
        <w:kinsoku/>
        <w:wordWrap/>
        <w:overflowPunct/>
        <w:topLinePunct w:val="0"/>
        <w:autoSpaceDE/>
        <w:autoSpaceDN/>
        <w:bidi w:val="0"/>
        <w:adjustRightInd/>
        <w:snapToGrid/>
        <w:spacing w:line="578" w:lineRule="exact"/>
        <w:ind w:firstLine="640" w:firstLineChars="200"/>
        <w:jc w:val="left"/>
        <w:textAlignment w:val="auto"/>
        <w:rPr>
          <w:rFonts w:hint="eastAsia" w:ascii="仿宋_GB2312" w:hAnsi="宋体" w:cs="微软雅黑"/>
          <w:color w:val="000000"/>
          <w:kern w:val="0"/>
        </w:rPr>
      </w:pPr>
      <w:r>
        <w:rPr>
          <w:rFonts w:hint="eastAsia" w:ascii="仿宋_GB2312" w:hAnsi="宋体" w:cs="微软雅黑"/>
          <w:color w:val="000000"/>
          <w:kern w:val="0"/>
        </w:rPr>
        <w:t>（二）已在广东省科技企业孵化育成服务平台（广东孵化在线育成平台）登记备案，并至少上报半年相关统计数据，且数据齐全、真实并获得省平台认可。</w:t>
      </w:r>
    </w:p>
    <w:p>
      <w:pPr>
        <w:keepNext w:val="0"/>
        <w:keepLines w:val="0"/>
        <w:pageBreakBefore w:val="0"/>
        <w:widowControl/>
        <w:kinsoku/>
        <w:wordWrap/>
        <w:overflowPunct/>
        <w:topLinePunct w:val="0"/>
        <w:autoSpaceDE/>
        <w:autoSpaceDN/>
        <w:bidi w:val="0"/>
        <w:adjustRightInd/>
        <w:snapToGrid/>
        <w:spacing w:line="578" w:lineRule="exact"/>
        <w:ind w:firstLine="640" w:firstLineChars="200"/>
        <w:jc w:val="left"/>
        <w:textAlignment w:val="auto"/>
        <w:rPr>
          <w:rFonts w:hint="eastAsia" w:ascii="仿宋_GB2312" w:hAnsi="宋体" w:cs="微软雅黑"/>
          <w:color w:val="000000"/>
          <w:kern w:val="0"/>
        </w:rPr>
      </w:pPr>
      <w:r>
        <w:rPr>
          <w:rFonts w:hint="eastAsia" w:ascii="仿宋_GB2312" w:hAnsi="宋体" w:cs="微软雅黑"/>
          <w:color w:val="000000"/>
          <w:kern w:val="0"/>
        </w:rPr>
        <w:t>（三）孵化器场地集中，可自主支配的场地面积不低于3000平方米。其中，在孵企业使用的场地（含公共服务场地）占75%以上。通过租赁或用其它方式取得物业支配权的，要求其合同明确清晰，自申请之日起有效期限不少于3年。</w:t>
      </w:r>
    </w:p>
    <w:p>
      <w:pPr>
        <w:keepNext w:val="0"/>
        <w:keepLines w:val="0"/>
        <w:pageBreakBefore w:val="0"/>
        <w:widowControl/>
        <w:kinsoku/>
        <w:wordWrap/>
        <w:overflowPunct/>
        <w:topLinePunct w:val="0"/>
        <w:autoSpaceDE/>
        <w:autoSpaceDN/>
        <w:bidi w:val="0"/>
        <w:adjustRightInd/>
        <w:snapToGrid/>
        <w:spacing w:line="578" w:lineRule="exact"/>
        <w:ind w:firstLine="640" w:firstLineChars="200"/>
        <w:jc w:val="left"/>
        <w:textAlignment w:val="auto"/>
        <w:rPr>
          <w:rFonts w:hint="eastAsia" w:ascii="仿宋_GB2312" w:hAnsi="宋体" w:cs="微软雅黑"/>
          <w:color w:val="000000"/>
          <w:kern w:val="0"/>
        </w:rPr>
      </w:pPr>
      <w:r>
        <w:rPr>
          <w:rFonts w:hint="eastAsia" w:ascii="仿宋_GB2312" w:hAnsi="宋体" w:cs="微软雅黑"/>
          <w:color w:val="000000"/>
          <w:kern w:val="0"/>
        </w:rPr>
        <w:t>（四）孵化器内在孵企业数量不少于10家，孵化器累计毕业企业应达到3家以上，已申请知识产权的企业占比不低于20%或拥有有效知识产权的企业占比不低于10%，75%以上的在孵企业为同一产业领域且符合香洲区“1+2+1”产业方向。</w:t>
      </w:r>
    </w:p>
    <w:p>
      <w:pPr>
        <w:keepNext w:val="0"/>
        <w:keepLines w:val="0"/>
        <w:pageBreakBefore w:val="0"/>
        <w:widowControl/>
        <w:kinsoku/>
        <w:wordWrap/>
        <w:overflowPunct/>
        <w:topLinePunct w:val="0"/>
        <w:autoSpaceDE/>
        <w:autoSpaceDN/>
        <w:bidi w:val="0"/>
        <w:adjustRightInd/>
        <w:snapToGrid/>
        <w:spacing w:line="578" w:lineRule="exact"/>
        <w:ind w:firstLine="640" w:firstLineChars="200"/>
        <w:jc w:val="left"/>
        <w:textAlignment w:val="auto"/>
        <w:rPr>
          <w:rFonts w:hint="eastAsia" w:ascii="仿宋_GB2312" w:hAnsi="宋体" w:cs="微软雅黑"/>
          <w:color w:val="000000"/>
          <w:kern w:val="0"/>
        </w:rPr>
      </w:pPr>
      <w:r>
        <w:rPr>
          <w:rFonts w:hint="eastAsia" w:ascii="仿宋_GB2312" w:hAnsi="宋体" w:cs="微软雅黑"/>
          <w:color w:val="000000"/>
          <w:kern w:val="0"/>
        </w:rPr>
        <w:t>（五）拥有职业化的服务队伍，专业孵化服务人员（指具有创业、投融资、企业管理等经验或经过创业服务相关培训的孵化器专职工作人员）占机构总人数60%以上且不少于3人，至少配备1名创业导师（指接受科技部门、行业协会或孵化器聘任，能提供专业化、实践性辅导服务的企业家、投资专家、管理咨询专家），平均每年组织开展的创业沙龙、项目路演、创业大赛、创业培训等相关孵化活动不少于4场/次。</w:t>
      </w:r>
    </w:p>
    <w:p>
      <w:pPr>
        <w:keepNext w:val="0"/>
        <w:keepLines w:val="0"/>
        <w:pageBreakBefore w:val="0"/>
        <w:widowControl/>
        <w:kinsoku/>
        <w:wordWrap/>
        <w:overflowPunct/>
        <w:topLinePunct w:val="0"/>
        <w:autoSpaceDE/>
        <w:autoSpaceDN/>
        <w:bidi w:val="0"/>
        <w:adjustRightInd/>
        <w:snapToGrid/>
        <w:spacing w:line="578" w:lineRule="exact"/>
        <w:ind w:firstLine="640" w:firstLineChars="200"/>
        <w:jc w:val="left"/>
        <w:textAlignment w:val="auto"/>
        <w:rPr>
          <w:rFonts w:hint="eastAsia" w:ascii="仿宋_GB2312" w:hAnsi="宋体" w:cs="微软雅黑"/>
          <w:color w:val="000000"/>
          <w:kern w:val="0"/>
        </w:rPr>
      </w:pPr>
      <w:r>
        <w:rPr>
          <w:rFonts w:hint="eastAsia" w:ascii="仿宋_GB2312" w:hAnsi="宋体" w:cs="微软雅黑"/>
          <w:color w:val="000000"/>
          <w:kern w:val="0"/>
        </w:rPr>
        <w:t>（六）拥有可支配（自建、签约或入驻）的公共服务平台或专业科技服务机构，能够提供研究开发、检验检测、小试中试等专业技术服务。</w:t>
      </w:r>
    </w:p>
    <w:p>
      <w:pPr>
        <w:keepNext w:val="0"/>
        <w:keepLines w:val="0"/>
        <w:pageBreakBefore w:val="0"/>
        <w:widowControl/>
        <w:kinsoku/>
        <w:wordWrap/>
        <w:overflowPunct/>
        <w:topLinePunct w:val="0"/>
        <w:autoSpaceDE/>
        <w:autoSpaceDN/>
        <w:bidi w:val="0"/>
        <w:adjustRightInd/>
        <w:snapToGrid/>
        <w:spacing w:line="578" w:lineRule="exact"/>
        <w:ind w:firstLine="640" w:firstLineChars="200"/>
        <w:jc w:val="left"/>
        <w:textAlignment w:val="auto"/>
        <w:rPr>
          <w:rFonts w:hint="eastAsia" w:ascii="仿宋_GB2312" w:hAnsi="宋体" w:cs="微软雅黑"/>
          <w:color w:val="000000"/>
          <w:kern w:val="0"/>
        </w:rPr>
      </w:pPr>
      <w:r>
        <w:rPr>
          <w:rFonts w:hint="eastAsia" w:ascii="仿宋_GB2312" w:hAnsi="宋体" w:cs="微软雅黑"/>
          <w:color w:val="000000"/>
          <w:kern w:val="0"/>
        </w:rPr>
        <w:t>（七）具备投融资服务功能，孵化器设立自有种子资金或与风险投资机构建立合作关系，可使用的配套资金不低于200万元，获得投融资的在孵企业占比不低于5%，并至少有1个资金使用案例。</w:t>
      </w:r>
    </w:p>
    <w:p>
      <w:pPr>
        <w:keepNext w:val="0"/>
        <w:keepLines w:val="0"/>
        <w:pageBreakBefore w:val="0"/>
        <w:widowControl/>
        <w:kinsoku/>
        <w:wordWrap/>
        <w:overflowPunct/>
        <w:topLinePunct w:val="0"/>
        <w:autoSpaceDE/>
        <w:autoSpaceDN/>
        <w:bidi w:val="0"/>
        <w:adjustRightInd/>
        <w:snapToGrid/>
        <w:spacing w:line="578" w:lineRule="exact"/>
        <w:ind w:firstLine="640" w:firstLineChars="200"/>
        <w:jc w:val="left"/>
        <w:textAlignment w:val="auto"/>
        <w:rPr>
          <w:rFonts w:hint="eastAsia" w:ascii="仿宋_GB2312" w:hAnsi="宋体" w:cs="微软雅黑"/>
          <w:color w:val="000000"/>
          <w:kern w:val="0"/>
        </w:rPr>
      </w:pPr>
      <w:r>
        <w:rPr>
          <w:rFonts w:hint="eastAsia" w:ascii="仿宋_GB2312" w:hAnsi="宋体" w:cs="微软雅黑"/>
          <w:color w:val="000000"/>
          <w:kern w:val="0"/>
        </w:rPr>
        <w:t>（八）与众创空间之间建有对接机制，并建有入驻企业从众创空间快速入驻孵化器的通道。</w:t>
      </w:r>
    </w:p>
    <w:p>
      <w:pPr>
        <w:keepNext w:val="0"/>
        <w:keepLines w:val="0"/>
        <w:pageBreakBefore w:val="0"/>
        <w:widowControl/>
        <w:kinsoku/>
        <w:wordWrap/>
        <w:overflowPunct/>
        <w:topLinePunct w:val="0"/>
        <w:autoSpaceDE/>
        <w:autoSpaceDN/>
        <w:bidi w:val="0"/>
        <w:adjustRightInd/>
        <w:snapToGrid/>
        <w:spacing w:line="578" w:lineRule="exact"/>
        <w:ind w:firstLine="643" w:firstLineChars="200"/>
        <w:jc w:val="left"/>
        <w:textAlignment w:val="auto"/>
        <w:rPr>
          <w:rFonts w:hint="eastAsia" w:ascii="仿宋_GB2312" w:hAnsi="宋体" w:cs="微软雅黑"/>
          <w:color w:val="000000"/>
          <w:kern w:val="0"/>
          <w:lang w:eastAsia="zh-CN"/>
        </w:rPr>
      </w:pPr>
      <w:r>
        <w:rPr>
          <w:rFonts w:hint="eastAsia" w:ascii="仿宋_GB2312" w:hAnsi="宋体" w:cs="微软雅黑"/>
          <w:b/>
          <w:bCs/>
          <w:color w:val="000000"/>
          <w:kern w:val="0"/>
          <w:lang w:eastAsia="zh-CN"/>
        </w:rPr>
        <w:t>港澳台科技企业专业孵化器还需满足以下条件：</w:t>
      </w:r>
    </w:p>
    <w:p>
      <w:pPr>
        <w:keepNext w:val="0"/>
        <w:keepLines w:val="0"/>
        <w:pageBreakBefore w:val="0"/>
        <w:widowControl/>
        <w:kinsoku/>
        <w:wordWrap/>
        <w:overflowPunct/>
        <w:topLinePunct w:val="0"/>
        <w:autoSpaceDE/>
        <w:autoSpaceDN/>
        <w:bidi w:val="0"/>
        <w:adjustRightInd/>
        <w:snapToGrid/>
        <w:spacing w:line="578" w:lineRule="exact"/>
        <w:ind w:firstLine="640" w:firstLineChars="200"/>
        <w:jc w:val="left"/>
        <w:textAlignment w:val="auto"/>
        <w:rPr>
          <w:rFonts w:hint="eastAsia" w:ascii="仿宋_GB2312" w:hAnsi="宋体" w:cs="微软雅黑"/>
          <w:color w:val="000000"/>
          <w:kern w:val="0"/>
          <w:lang w:val="en-US" w:eastAsia="zh-CN"/>
        </w:rPr>
      </w:pPr>
      <w:r>
        <w:rPr>
          <w:rFonts w:hint="eastAsia" w:ascii="仿宋_GB2312" w:hAnsi="宋体" w:cs="微软雅黑"/>
          <w:color w:val="000000"/>
          <w:kern w:val="0"/>
          <w:lang w:val="en-US" w:eastAsia="zh-CN"/>
        </w:rPr>
        <w:t>港澳台企业占在孵企业总数75%以上，其中港澳台企业的股东或实际控制人须为港澳台创业者或港澳台机构。</w:t>
      </w:r>
    </w:p>
    <w:p>
      <w:pPr>
        <w:keepNext w:val="0"/>
        <w:keepLines w:val="0"/>
        <w:pageBreakBefore w:val="0"/>
        <w:widowControl/>
        <w:kinsoku/>
        <w:wordWrap/>
        <w:overflowPunct/>
        <w:topLinePunct w:val="0"/>
        <w:autoSpaceDE/>
        <w:autoSpaceDN/>
        <w:bidi w:val="0"/>
        <w:adjustRightInd/>
        <w:snapToGrid/>
        <w:spacing w:line="578" w:lineRule="exact"/>
        <w:ind w:firstLine="643" w:firstLineChars="200"/>
        <w:jc w:val="left"/>
        <w:textAlignment w:val="auto"/>
        <w:rPr>
          <w:rFonts w:hint="eastAsia" w:ascii="仿宋_GB2312" w:hAnsi="宋体" w:cs="微软雅黑"/>
          <w:b/>
          <w:bCs/>
          <w:color w:val="000000"/>
          <w:kern w:val="0"/>
          <w:lang w:eastAsia="zh-CN"/>
        </w:rPr>
      </w:pPr>
      <w:r>
        <w:rPr>
          <w:rFonts w:hint="eastAsia" w:ascii="仿宋_GB2312" w:hAnsi="宋体" w:cs="微软雅黑"/>
          <w:b/>
          <w:bCs/>
          <w:color w:val="000000"/>
          <w:kern w:val="0"/>
          <w:lang w:eastAsia="zh-CN"/>
        </w:rPr>
        <w:t>在孵企业应同时具备以下条件：</w:t>
      </w:r>
    </w:p>
    <w:p>
      <w:pPr>
        <w:keepNext w:val="0"/>
        <w:keepLines w:val="0"/>
        <w:pageBreakBefore w:val="0"/>
        <w:widowControl/>
        <w:kinsoku/>
        <w:wordWrap/>
        <w:overflowPunct/>
        <w:topLinePunct w:val="0"/>
        <w:autoSpaceDE/>
        <w:autoSpaceDN/>
        <w:bidi w:val="0"/>
        <w:adjustRightInd/>
        <w:snapToGrid/>
        <w:spacing w:line="578" w:lineRule="exact"/>
        <w:ind w:firstLine="640" w:firstLineChars="200"/>
        <w:jc w:val="left"/>
        <w:textAlignment w:val="auto"/>
        <w:rPr>
          <w:rFonts w:hint="eastAsia" w:ascii="仿宋_GB2312" w:hAnsi="宋体" w:cs="微软雅黑"/>
          <w:color w:val="000000"/>
          <w:kern w:val="0"/>
        </w:rPr>
      </w:pPr>
      <w:r>
        <w:rPr>
          <w:rFonts w:hint="eastAsia" w:ascii="仿宋_GB2312" w:hAnsi="宋体" w:cs="微软雅黑"/>
          <w:color w:val="000000"/>
          <w:kern w:val="0"/>
        </w:rPr>
        <w:t>（一）主要从事新技术、新产品的研发、生产和服务，应满足科技型中小企业相关要求。</w:t>
      </w:r>
    </w:p>
    <w:p>
      <w:pPr>
        <w:keepNext w:val="0"/>
        <w:keepLines w:val="0"/>
        <w:pageBreakBefore w:val="0"/>
        <w:widowControl/>
        <w:kinsoku/>
        <w:wordWrap/>
        <w:overflowPunct/>
        <w:topLinePunct w:val="0"/>
        <w:autoSpaceDE/>
        <w:autoSpaceDN/>
        <w:bidi w:val="0"/>
        <w:adjustRightInd/>
        <w:snapToGrid/>
        <w:spacing w:line="578" w:lineRule="exact"/>
        <w:ind w:firstLine="640" w:firstLineChars="200"/>
        <w:jc w:val="left"/>
        <w:textAlignment w:val="auto"/>
        <w:rPr>
          <w:rFonts w:hint="eastAsia" w:ascii="仿宋_GB2312" w:hAnsi="宋体" w:cs="微软雅黑"/>
          <w:color w:val="000000"/>
          <w:kern w:val="0"/>
        </w:rPr>
      </w:pPr>
      <w:r>
        <w:rPr>
          <w:rFonts w:hint="eastAsia" w:ascii="仿宋_GB2312" w:hAnsi="宋体" w:cs="微软雅黑"/>
          <w:color w:val="000000"/>
          <w:kern w:val="0"/>
        </w:rPr>
        <w:t>（二）注册地和主要研发、办公场所均须在本孵化器场地内,入驻时成立时间不超过36个月。</w:t>
      </w:r>
    </w:p>
    <w:p>
      <w:pPr>
        <w:keepNext w:val="0"/>
        <w:keepLines w:val="0"/>
        <w:pageBreakBefore w:val="0"/>
        <w:widowControl/>
        <w:kinsoku/>
        <w:wordWrap/>
        <w:overflowPunct/>
        <w:topLinePunct w:val="0"/>
        <w:autoSpaceDE/>
        <w:autoSpaceDN/>
        <w:bidi w:val="0"/>
        <w:adjustRightInd/>
        <w:snapToGrid/>
        <w:spacing w:line="578" w:lineRule="exact"/>
        <w:ind w:firstLine="640" w:firstLineChars="200"/>
        <w:jc w:val="left"/>
        <w:textAlignment w:val="auto"/>
        <w:rPr>
          <w:rFonts w:hint="eastAsia" w:ascii="仿宋_GB2312" w:hAnsi="宋体" w:cs="微软雅黑"/>
          <w:color w:val="000000"/>
          <w:kern w:val="0"/>
        </w:rPr>
      </w:pPr>
      <w:r>
        <w:rPr>
          <w:rFonts w:hint="eastAsia" w:ascii="仿宋_GB2312" w:hAnsi="宋体" w:cs="微软雅黑"/>
          <w:color w:val="000000"/>
          <w:kern w:val="0"/>
        </w:rPr>
        <w:t>（三）孵化时间原则上不超过48个月，如有特殊情况可延长孵化期，延长孵化期限不超过24个月。</w:t>
      </w:r>
    </w:p>
    <w:p>
      <w:pPr>
        <w:keepNext w:val="0"/>
        <w:keepLines w:val="0"/>
        <w:pageBreakBefore w:val="0"/>
        <w:widowControl/>
        <w:kinsoku/>
        <w:wordWrap/>
        <w:overflowPunct/>
        <w:topLinePunct w:val="0"/>
        <w:autoSpaceDE/>
        <w:autoSpaceDN/>
        <w:bidi w:val="0"/>
        <w:adjustRightInd/>
        <w:snapToGrid/>
        <w:spacing w:line="578" w:lineRule="exact"/>
        <w:ind w:firstLine="643" w:firstLineChars="200"/>
        <w:jc w:val="left"/>
        <w:textAlignment w:val="auto"/>
        <w:rPr>
          <w:rFonts w:hint="eastAsia" w:ascii="仿宋_GB2312" w:hAnsi="宋体" w:cs="微软雅黑"/>
          <w:b/>
          <w:bCs/>
          <w:color w:val="000000"/>
          <w:kern w:val="0"/>
          <w:lang w:eastAsia="zh-CN"/>
        </w:rPr>
      </w:pPr>
      <w:r>
        <w:rPr>
          <w:rFonts w:hint="eastAsia" w:ascii="仿宋_GB2312" w:hAnsi="宋体" w:cs="微软雅黑"/>
          <w:b/>
          <w:bCs/>
          <w:color w:val="000000"/>
          <w:kern w:val="0"/>
          <w:lang w:eastAsia="zh-CN"/>
        </w:rPr>
        <w:t>毕业企业应已建立科学、规范、完整的管理体系，具有一定的抗风险能力，同时具备以下条件中的至少一条：</w:t>
      </w:r>
    </w:p>
    <w:p>
      <w:pPr>
        <w:keepNext w:val="0"/>
        <w:keepLines w:val="0"/>
        <w:pageBreakBefore w:val="0"/>
        <w:widowControl/>
        <w:kinsoku/>
        <w:wordWrap/>
        <w:overflowPunct/>
        <w:topLinePunct w:val="0"/>
        <w:autoSpaceDE/>
        <w:autoSpaceDN/>
        <w:bidi w:val="0"/>
        <w:adjustRightInd/>
        <w:snapToGrid/>
        <w:spacing w:line="578" w:lineRule="exact"/>
        <w:ind w:firstLine="640" w:firstLineChars="200"/>
        <w:jc w:val="left"/>
        <w:textAlignment w:val="auto"/>
        <w:rPr>
          <w:rFonts w:hint="eastAsia" w:ascii="仿宋_GB2312" w:hAnsi="宋体" w:cs="微软雅黑"/>
          <w:color w:val="000000"/>
          <w:kern w:val="0"/>
        </w:rPr>
      </w:pPr>
      <w:r>
        <w:rPr>
          <w:rFonts w:hint="eastAsia" w:ascii="仿宋_GB2312" w:hAnsi="宋体" w:cs="微软雅黑"/>
          <w:color w:val="000000"/>
          <w:kern w:val="0"/>
        </w:rPr>
        <w:t>（一）经认定的国家高新技术企业。</w:t>
      </w:r>
    </w:p>
    <w:p>
      <w:pPr>
        <w:keepNext w:val="0"/>
        <w:keepLines w:val="0"/>
        <w:pageBreakBefore w:val="0"/>
        <w:widowControl/>
        <w:kinsoku/>
        <w:wordWrap/>
        <w:overflowPunct/>
        <w:topLinePunct w:val="0"/>
        <w:autoSpaceDE/>
        <w:autoSpaceDN/>
        <w:bidi w:val="0"/>
        <w:adjustRightInd/>
        <w:snapToGrid/>
        <w:spacing w:line="578" w:lineRule="exact"/>
        <w:ind w:firstLine="640" w:firstLineChars="200"/>
        <w:jc w:val="left"/>
        <w:textAlignment w:val="auto"/>
        <w:rPr>
          <w:rFonts w:hint="eastAsia" w:ascii="仿宋_GB2312" w:hAnsi="宋体" w:cs="微软雅黑"/>
          <w:color w:val="000000"/>
          <w:kern w:val="0"/>
        </w:rPr>
      </w:pPr>
      <w:r>
        <w:rPr>
          <w:rFonts w:hint="eastAsia" w:ascii="仿宋_GB2312" w:hAnsi="宋体" w:cs="微软雅黑"/>
          <w:color w:val="000000"/>
          <w:kern w:val="0"/>
        </w:rPr>
        <w:t>（二）纳入珠海市高成长创新型（独角兽）企业培育库或市级以上高新技术企业培育库。</w:t>
      </w:r>
    </w:p>
    <w:p>
      <w:pPr>
        <w:keepNext w:val="0"/>
        <w:keepLines w:val="0"/>
        <w:pageBreakBefore w:val="0"/>
        <w:widowControl/>
        <w:kinsoku/>
        <w:wordWrap/>
        <w:overflowPunct/>
        <w:topLinePunct w:val="0"/>
        <w:autoSpaceDE/>
        <w:autoSpaceDN/>
        <w:bidi w:val="0"/>
        <w:adjustRightInd/>
        <w:snapToGrid/>
        <w:spacing w:line="578" w:lineRule="exact"/>
        <w:ind w:firstLine="640" w:firstLineChars="200"/>
        <w:jc w:val="left"/>
        <w:textAlignment w:val="auto"/>
        <w:rPr>
          <w:rFonts w:hint="eastAsia" w:ascii="仿宋_GB2312" w:hAnsi="宋体" w:cs="微软雅黑"/>
          <w:color w:val="000000"/>
          <w:kern w:val="0"/>
        </w:rPr>
      </w:pPr>
      <w:r>
        <w:rPr>
          <w:rFonts w:hint="eastAsia" w:ascii="仿宋_GB2312" w:hAnsi="宋体" w:cs="微软雅黑"/>
          <w:color w:val="000000"/>
          <w:kern w:val="0"/>
        </w:rPr>
        <w:t>（三）连续2年营业收入累计超过500万元或当年营业收入超过300万元或获得投资金额在200万元以上。</w:t>
      </w:r>
    </w:p>
    <w:p>
      <w:pPr>
        <w:keepNext w:val="0"/>
        <w:keepLines w:val="0"/>
        <w:pageBreakBefore w:val="0"/>
        <w:widowControl/>
        <w:kinsoku/>
        <w:wordWrap/>
        <w:overflowPunct/>
        <w:topLinePunct w:val="0"/>
        <w:autoSpaceDE/>
        <w:autoSpaceDN/>
        <w:bidi w:val="0"/>
        <w:adjustRightInd/>
        <w:snapToGrid/>
        <w:spacing w:line="578" w:lineRule="exact"/>
        <w:ind w:firstLine="640" w:firstLineChars="200"/>
        <w:jc w:val="left"/>
        <w:textAlignment w:val="auto"/>
        <w:rPr>
          <w:rFonts w:hint="eastAsia" w:ascii="仿宋_GB2312" w:hAnsi="宋体" w:cs="微软雅黑"/>
          <w:color w:val="000000"/>
          <w:kern w:val="0"/>
          <w:lang w:val="en-US" w:eastAsia="zh-CN"/>
        </w:rPr>
      </w:pPr>
      <w:r>
        <w:rPr>
          <w:rFonts w:hint="eastAsia" w:ascii="仿宋_GB2312" w:hAnsi="宋体" w:cs="微软雅黑"/>
          <w:color w:val="000000"/>
          <w:kern w:val="0"/>
        </w:rPr>
        <w:t>（四）被兼并、收购或在国内外资本市场挂牌、上市。</w:t>
      </w:r>
      <w:bookmarkStart w:id="0" w:name="_GoBack"/>
      <w:bookmarkEnd w:id="0"/>
    </w:p>
    <w:sectPr>
      <w:footerReference r:id="rId3" w:type="default"/>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- 7 -</w:t>
                          </w:r>
                          <w:r>
                            <w:rPr>
                              <w:rFonts w:hint="eastAsia" w:ascii="宋体" w:hAnsi="宋体" w:eastAsia="宋体" w:cs="宋体"/>
                              <w:sz w:val="28"/>
                              <w:szCs w:val="2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APs5vjrgEAAEsD&#10;AAAOAAAAAAAAAAEAIAAAAB4BAABkcnMvZTJvRG9jLnhtbFBLBQYAAAAABgAGAFkBAAA+BQAAAAA=&#10;">
              <v:fill on="f" focussize="0,0"/>
              <v:stroke on="f"/>
              <v:imagedata o:title=""/>
              <o:lock v:ext="edit" aspectratio="f"/>
              <v:textbox inset="0mm,0mm,0mm,0mm" style="mso-fit-shape-to-text:t;">
                <w:txbxContent>
                  <w:p>
                    <w:pPr>
                      <w:pStyle w:val="5"/>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- 7 -</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F0829"/>
    <w:rsid w:val="0010415A"/>
    <w:rsid w:val="005B2E74"/>
    <w:rsid w:val="00732BEC"/>
    <w:rsid w:val="00CD1E0A"/>
    <w:rsid w:val="00D43974"/>
    <w:rsid w:val="04052E84"/>
    <w:rsid w:val="04557B47"/>
    <w:rsid w:val="04615F53"/>
    <w:rsid w:val="04B2762D"/>
    <w:rsid w:val="04EF060B"/>
    <w:rsid w:val="052B0B8D"/>
    <w:rsid w:val="05BB731F"/>
    <w:rsid w:val="06A84FA9"/>
    <w:rsid w:val="070F3666"/>
    <w:rsid w:val="078A5470"/>
    <w:rsid w:val="084F42B5"/>
    <w:rsid w:val="0A946E52"/>
    <w:rsid w:val="0BF23735"/>
    <w:rsid w:val="0C5D17C0"/>
    <w:rsid w:val="0E2F6EEA"/>
    <w:rsid w:val="0EA12A23"/>
    <w:rsid w:val="0F627BD4"/>
    <w:rsid w:val="11F64F40"/>
    <w:rsid w:val="12BB6708"/>
    <w:rsid w:val="15CE0660"/>
    <w:rsid w:val="16363269"/>
    <w:rsid w:val="16A535FE"/>
    <w:rsid w:val="18F84BDE"/>
    <w:rsid w:val="194C0699"/>
    <w:rsid w:val="19632A11"/>
    <w:rsid w:val="19D2361B"/>
    <w:rsid w:val="19F70CA0"/>
    <w:rsid w:val="1A1346EA"/>
    <w:rsid w:val="1B886DD3"/>
    <w:rsid w:val="1BC26014"/>
    <w:rsid w:val="1D725FD0"/>
    <w:rsid w:val="1E560C73"/>
    <w:rsid w:val="1F584063"/>
    <w:rsid w:val="1F95719C"/>
    <w:rsid w:val="200E6A50"/>
    <w:rsid w:val="205D48CA"/>
    <w:rsid w:val="20FA1F8B"/>
    <w:rsid w:val="21576FC3"/>
    <w:rsid w:val="2228100F"/>
    <w:rsid w:val="22A87661"/>
    <w:rsid w:val="22CA0FC4"/>
    <w:rsid w:val="23241C1C"/>
    <w:rsid w:val="24206763"/>
    <w:rsid w:val="243C7A08"/>
    <w:rsid w:val="248A6164"/>
    <w:rsid w:val="27467AAE"/>
    <w:rsid w:val="285327E4"/>
    <w:rsid w:val="2858131E"/>
    <w:rsid w:val="29251484"/>
    <w:rsid w:val="293146C5"/>
    <w:rsid w:val="29DE6F43"/>
    <w:rsid w:val="2A4E4FD6"/>
    <w:rsid w:val="2A6607A2"/>
    <w:rsid w:val="2AC6662B"/>
    <w:rsid w:val="2B495004"/>
    <w:rsid w:val="2B755C4E"/>
    <w:rsid w:val="2FA34103"/>
    <w:rsid w:val="2FF46E74"/>
    <w:rsid w:val="301E469C"/>
    <w:rsid w:val="312A32B9"/>
    <w:rsid w:val="31743F6A"/>
    <w:rsid w:val="33437048"/>
    <w:rsid w:val="33926FDB"/>
    <w:rsid w:val="340F4E8D"/>
    <w:rsid w:val="34877A49"/>
    <w:rsid w:val="34AC04A6"/>
    <w:rsid w:val="34CA3CDD"/>
    <w:rsid w:val="35936B49"/>
    <w:rsid w:val="37A02F24"/>
    <w:rsid w:val="384857B5"/>
    <w:rsid w:val="38BA3EB4"/>
    <w:rsid w:val="392D57AC"/>
    <w:rsid w:val="3B5060C7"/>
    <w:rsid w:val="3C0E65AC"/>
    <w:rsid w:val="3ED6073F"/>
    <w:rsid w:val="3F7A6364"/>
    <w:rsid w:val="3FEE5768"/>
    <w:rsid w:val="40C44C14"/>
    <w:rsid w:val="42822C16"/>
    <w:rsid w:val="4386179B"/>
    <w:rsid w:val="43DE7976"/>
    <w:rsid w:val="44742F16"/>
    <w:rsid w:val="448E277E"/>
    <w:rsid w:val="47B85928"/>
    <w:rsid w:val="4957555D"/>
    <w:rsid w:val="49BA6ACC"/>
    <w:rsid w:val="49D415FB"/>
    <w:rsid w:val="4A397032"/>
    <w:rsid w:val="4A86102F"/>
    <w:rsid w:val="4AC76FA6"/>
    <w:rsid w:val="4B8143F2"/>
    <w:rsid w:val="4D1D0E80"/>
    <w:rsid w:val="4DDD7C17"/>
    <w:rsid w:val="4DEB66F8"/>
    <w:rsid w:val="4E9C6A6B"/>
    <w:rsid w:val="4EA24A37"/>
    <w:rsid w:val="4EAC6E3C"/>
    <w:rsid w:val="4EC900E4"/>
    <w:rsid w:val="4FBE154C"/>
    <w:rsid w:val="53D45A44"/>
    <w:rsid w:val="553C715F"/>
    <w:rsid w:val="556A34BC"/>
    <w:rsid w:val="55951DE7"/>
    <w:rsid w:val="57F14A21"/>
    <w:rsid w:val="57F71D9F"/>
    <w:rsid w:val="5822727D"/>
    <w:rsid w:val="586A0A28"/>
    <w:rsid w:val="58D00E0E"/>
    <w:rsid w:val="58F46A99"/>
    <w:rsid w:val="5986615B"/>
    <w:rsid w:val="59F77970"/>
    <w:rsid w:val="5A1647AC"/>
    <w:rsid w:val="5A503957"/>
    <w:rsid w:val="5AE5398D"/>
    <w:rsid w:val="5BD923B3"/>
    <w:rsid w:val="5EE804DD"/>
    <w:rsid w:val="60351E62"/>
    <w:rsid w:val="60F02537"/>
    <w:rsid w:val="62983B6F"/>
    <w:rsid w:val="65AC27F1"/>
    <w:rsid w:val="661B4C99"/>
    <w:rsid w:val="667D5A46"/>
    <w:rsid w:val="67BF3636"/>
    <w:rsid w:val="6AB64EA3"/>
    <w:rsid w:val="6ACB77F8"/>
    <w:rsid w:val="6D213DFD"/>
    <w:rsid w:val="6FAC7FBE"/>
    <w:rsid w:val="706E225B"/>
    <w:rsid w:val="708724F2"/>
    <w:rsid w:val="716C48D0"/>
    <w:rsid w:val="71A94BEF"/>
    <w:rsid w:val="7249104C"/>
    <w:rsid w:val="7512262A"/>
    <w:rsid w:val="776F6C90"/>
    <w:rsid w:val="77E522E8"/>
    <w:rsid w:val="78EC434B"/>
    <w:rsid w:val="7A1D3EEA"/>
    <w:rsid w:val="7AFC34EF"/>
    <w:rsid w:val="7B4E2BB8"/>
    <w:rsid w:val="7BDB5FC9"/>
    <w:rsid w:val="7DEA5A99"/>
    <w:rsid w:val="7E185300"/>
    <w:rsid w:val="7E5D778E"/>
    <w:rsid w:val="7EC93889"/>
    <w:rsid w:val="7F1A79F1"/>
    <w:rsid w:val="7F4C4547"/>
    <w:rsid w:val="7F8529CA"/>
    <w:rsid w:val="7F852E6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8">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annotation text"/>
    <w:basedOn w:val="1"/>
    <w:uiPriority w:val="0"/>
    <w:pPr>
      <w:jc w:val="left"/>
    </w:pPr>
  </w:style>
  <w:style w:type="paragraph" w:styleId="3">
    <w:name w:val="Body Text Indent"/>
    <w:basedOn w:val="1"/>
    <w:qFormat/>
    <w:uiPriority w:val="0"/>
    <w:pPr>
      <w:ind w:firstLine="630"/>
    </w:pPr>
    <w:rPr>
      <w:szCs w:val="24"/>
    </w:rPr>
  </w:style>
  <w:style w:type="paragraph" w:styleId="4">
    <w:name w:val="Balloon Text"/>
    <w:basedOn w:val="1"/>
    <w:link w:val="9"/>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customStyle="1" w:styleId="9">
    <w:name w:val="批注框文本 Char"/>
    <w:link w:val="4"/>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MC SYSTEM</Company>
  <Pages>9</Pages>
  <Words>538</Words>
  <Characters>3067</Characters>
  <Lines>25</Lines>
  <Paragraphs>7</Paragraphs>
  <TotalTime>0</TotalTime>
  <ScaleCrop>false</ScaleCrop>
  <LinksUpToDate>false</LinksUpToDate>
  <CharactersWithSpaces>3598</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KGX</dc:creator>
  <cp:lastModifiedBy>曾绮思:部门内部人员审批</cp:lastModifiedBy>
  <cp:lastPrinted>2019-12-13T11:41:00Z</cp:lastPrinted>
  <dcterms:modified xsi:type="dcterms:W3CDTF">2022-09-30T03:07:09Z</dcterms:modified>
  <dc:title>附件：</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A8853FCCA3F443CE882B02C38D5BA183</vt:lpwstr>
  </property>
</Properties>
</file>