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hint="eastAsia" w:ascii="黑体" w:hAnsi="黑体" w:eastAsia="黑体" w:cs="黑体"/>
          <w:sz w:val="32"/>
          <w:szCs w:val="32"/>
          <w:lang w:val="en-US" w:eastAsia="zh-CN"/>
        </w:rPr>
      </w:pPr>
      <w:bookmarkStart w:id="0" w:name="_Toc13843554"/>
      <w:r>
        <w:rPr>
          <w:rFonts w:hint="eastAsia" w:ascii="黑体" w:hAnsi="黑体" w:eastAsia="黑体" w:cs="黑体"/>
          <w:sz w:val="32"/>
          <w:szCs w:val="32"/>
          <w:lang w:val="en-US" w:eastAsia="zh-CN"/>
        </w:rPr>
        <w:t>附件1</w:t>
      </w:r>
    </w:p>
    <w:p>
      <w:pPr>
        <w:rPr>
          <w:rFonts w:hint="eastAsia"/>
          <w:lang w:val="en-US" w:eastAsia="zh-CN"/>
        </w:rPr>
      </w:pPr>
    </w:p>
    <w:p>
      <w:pPr>
        <w:pStyle w:val="2"/>
      </w:pPr>
      <w:r>
        <w:rPr>
          <w:rFonts w:hint="eastAsia"/>
        </w:rPr>
        <w:t>盐田区总部企业认定申报指南</w:t>
      </w:r>
      <w:bookmarkEnd w:id="0"/>
    </w:p>
    <w:p>
      <w:pPr>
        <w:keepNext w:val="0"/>
        <w:keepLines w:val="0"/>
        <w:pageBreakBefore w:val="0"/>
        <w:widowControl w:val="0"/>
        <w:kinsoku/>
        <w:wordWrap/>
        <w:overflowPunct/>
        <w:topLinePunct w:val="0"/>
        <w:autoSpaceDE/>
        <w:autoSpaceDN/>
        <w:bidi w:val="0"/>
        <w:adjustRightInd/>
        <w:snapToGrid w:val="0"/>
        <w:spacing w:line="560" w:lineRule="exact"/>
        <w:ind w:firstLine="641"/>
        <w:textAlignment w:val="auto"/>
        <w:rPr>
          <w:rFonts w:hint="eastAsia" w:ascii="黑体" w:hAnsi="Calibri" w:eastAsia="黑体"/>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Calibri" w:eastAsia="黑体"/>
          <w:szCs w:val="32"/>
        </w:rPr>
      </w:pPr>
      <w:r>
        <w:rPr>
          <w:rFonts w:hint="eastAsia" w:ascii="黑体" w:hAnsi="Calibri" w:eastAsia="黑体"/>
          <w:szCs w:val="32"/>
        </w:rPr>
        <w:t>一、申请内容</w:t>
      </w:r>
    </w:p>
    <w:p>
      <w:pPr>
        <w:snapToGrid w:val="0"/>
        <w:spacing w:line="520" w:lineRule="exact"/>
        <w:ind w:firstLine="640"/>
        <w:rPr>
          <w:szCs w:val="32"/>
        </w:rPr>
      </w:pPr>
      <w:r>
        <w:rPr>
          <w:rFonts w:hint="eastAsia"/>
          <w:szCs w:val="32"/>
        </w:rPr>
        <w:t>对符合市、区产业结构调整优化目录，工商及税务登记在盐田区且具有独立法人资格，在一定区域内的行使投资控股、运营决策、集中销售、财务结算等管理服务职能的总机构，符合《盐田区支持总部企业发展实施办法》相关认定条件的企业，可申请认定为盐田区总部企业。</w:t>
      </w:r>
    </w:p>
    <w:p>
      <w:pPr>
        <w:snapToGrid w:val="0"/>
        <w:spacing w:line="520" w:lineRule="exact"/>
        <w:ind w:firstLine="640"/>
        <w:rPr>
          <w:rFonts w:ascii="黑体" w:hAnsi="Calibri" w:eastAsia="黑体"/>
          <w:szCs w:val="32"/>
        </w:rPr>
      </w:pPr>
      <w:r>
        <w:rPr>
          <w:rFonts w:hint="eastAsia" w:ascii="黑体" w:hAnsi="Calibri" w:eastAsia="黑体"/>
          <w:szCs w:val="32"/>
        </w:rPr>
        <w:t>二、设定依据</w:t>
      </w:r>
    </w:p>
    <w:p>
      <w:pPr>
        <w:snapToGrid w:val="0"/>
        <w:spacing w:line="520" w:lineRule="exact"/>
        <w:ind w:firstLine="640"/>
        <w:rPr>
          <w:rFonts w:ascii="仿宋_GB2312" w:hAnsi="Calibri"/>
          <w:szCs w:val="32"/>
        </w:rPr>
      </w:pPr>
      <w:r>
        <w:rPr>
          <w:rFonts w:hint="eastAsia" w:ascii="仿宋_GB2312" w:hAnsi="Calibri"/>
          <w:color w:val="auto"/>
          <w:szCs w:val="32"/>
          <w:highlight w:val="none"/>
        </w:rPr>
        <w:t>《盐田区产业发展资金管理规定的通知》</w:t>
      </w:r>
      <w:r>
        <w:rPr>
          <w:rFonts w:hint="eastAsia" w:ascii="仿宋_GB2312" w:hAnsi="Calibri"/>
          <w:szCs w:val="32"/>
        </w:rPr>
        <w:t>《</w:t>
      </w:r>
      <w:r>
        <w:rPr>
          <w:rFonts w:hint="eastAsia"/>
          <w:szCs w:val="32"/>
        </w:rPr>
        <w:t>盐田区支持总部企业发展实施办法</w:t>
      </w:r>
      <w:r>
        <w:rPr>
          <w:rFonts w:hint="eastAsia" w:ascii="仿宋_GB2312" w:hAnsi="Calibri"/>
          <w:szCs w:val="32"/>
        </w:rPr>
        <w:t>》。</w:t>
      </w:r>
    </w:p>
    <w:p>
      <w:pPr>
        <w:snapToGrid w:val="0"/>
        <w:spacing w:line="520" w:lineRule="exact"/>
        <w:ind w:firstLine="640"/>
        <w:rPr>
          <w:rFonts w:ascii="黑体" w:hAnsi="Calibri" w:eastAsia="黑体"/>
          <w:szCs w:val="32"/>
        </w:rPr>
      </w:pPr>
      <w:r>
        <w:rPr>
          <w:rFonts w:hint="eastAsia" w:ascii="黑体" w:hAnsi="Calibri" w:eastAsia="黑体"/>
          <w:szCs w:val="32"/>
        </w:rPr>
        <w:t>三、办理条件</w:t>
      </w:r>
    </w:p>
    <w:p>
      <w:pPr>
        <w:snapToGrid w:val="0"/>
        <w:spacing w:line="520" w:lineRule="exact"/>
        <w:ind w:firstLine="640"/>
        <w:rPr>
          <w:rFonts w:ascii="仿宋_GB2312" w:hAnsi="Calibri"/>
          <w:szCs w:val="32"/>
        </w:rPr>
      </w:pPr>
      <w:r>
        <w:rPr>
          <w:rFonts w:hint="eastAsia" w:ascii="仿宋_GB2312" w:hAnsi="Calibri"/>
          <w:szCs w:val="32"/>
        </w:rPr>
        <w:t>申请该项目企业应当符合以下条件：</w:t>
      </w:r>
    </w:p>
    <w:p>
      <w:pPr>
        <w:snapToGrid w:val="0"/>
        <w:spacing w:line="520" w:lineRule="exact"/>
        <w:ind w:firstLine="640"/>
        <w:rPr>
          <w:rFonts w:ascii="仿宋_GB2312" w:hAnsi="Calibri"/>
          <w:szCs w:val="32"/>
        </w:rPr>
      </w:pPr>
      <w:r>
        <w:rPr>
          <w:rFonts w:hint="eastAsia" w:ascii="仿宋_GB2312" w:hAnsi="Calibri"/>
          <w:szCs w:val="32"/>
        </w:rPr>
        <w:t>（一）申报单位应当是在盐田区注册并具有独立法人资格的企业；</w:t>
      </w:r>
    </w:p>
    <w:p>
      <w:pPr>
        <w:snapToGrid w:val="0"/>
        <w:spacing w:line="520" w:lineRule="exact"/>
        <w:ind w:firstLine="640"/>
        <w:rPr>
          <w:rFonts w:ascii="仿宋_GB2312"/>
          <w:szCs w:val="32"/>
        </w:rPr>
      </w:pPr>
      <w:r>
        <w:rPr>
          <w:rFonts w:hint="eastAsia" w:ascii="仿宋_GB2312"/>
          <w:szCs w:val="32"/>
        </w:rPr>
        <w:t>（二）产权关系明晰，依法经营，诚实守信；</w:t>
      </w:r>
    </w:p>
    <w:p>
      <w:pPr>
        <w:snapToGrid w:val="0"/>
        <w:spacing w:line="520" w:lineRule="exact"/>
        <w:ind w:firstLine="640"/>
        <w:rPr>
          <w:rFonts w:ascii="仿宋_GB2312"/>
          <w:szCs w:val="32"/>
        </w:rPr>
      </w:pPr>
      <w:r>
        <w:rPr>
          <w:rFonts w:hint="eastAsia" w:ascii="仿宋_GB2312"/>
          <w:szCs w:val="32"/>
        </w:rPr>
        <w:t>（三）有严格的财务管理制度和健全的会计核算体系；</w:t>
      </w:r>
    </w:p>
    <w:p>
      <w:pPr>
        <w:snapToGrid w:val="0"/>
        <w:spacing w:line="520" w:lineRule="exact"/>
        <w:ind w:firstLine="640"/>
        <w:rPr>
          <w:rFonts w:ascii="仿宋_GB2312"/>
          <w:szCs w:val="32"/>
        </w:rPr>
      </w:pPr>
      <w:r>
        <w:rPr>
          <w:rFonts w:hint="eastAsia" w:ascii="仿宋_GB2312"/>
          <w:szCs w:val="32"/>
        </w:rPr>
        <w:t>（四）符合盐田区总部企业认定标准。</w:t>
      </w:r>
    </w:p>
    <w:p>
      <w:pPr>
        <w:snapToGrid w:val="0"/>
        <w:spacing w:line="520" w:lineRule="exact"/>
        <w:ind w:firstLine="640"/>
        <w:rPr>
          <w:rFonts w:ascii="黑体" w:hAnsi="Calibri" w:eastAsia="黑体"/>
          <w:szCs w:val="32"/>
        </w:rPr>
      </w:pPr>
      <w:r>
        <w:rPr>
          <w:rFonts w:hint="eastAsia" w:ascii="黑体" w:hAnsi="Calibri" w:eastAsia="黑体"/>
          <w:szCs w:val="32"/>
        </w:rPr>
        <w:t>四、</w:t>
      </w:r>
      <w:r>
        <w:rPr>
          <w:rFonts w:hint="eastAsia" w:ascii="黑体" w:hAnsi="黑体" w:eastAsia="黑体"/>
          <w:szCs w:val="32"/>
        </w:rPr>
        <w:t>认定标准</w:t>
      </w:r>
    </w:p>
    <w:p>
      <w:pPr>
        <w:pStyle w:val="28"/>
        <w:spacing w:line="560" w:lineRule="atLeast"/>
        <w:ind w:firstLine="640" w:firstLineChars="200"/>
        <w:jc w:val="both"/>
        <w:rPr>
          <w:rFonts w:ascii="仿宋_GB2312" w:eastAsia="仿宋_GB2312" w:cs="仿宋_GB2312"/>
          <w:color w:val="auto"/>
          <w:sz w:val="32"/>
          <w:szCs w:val="32"/>
        </w:rPr>
      </w:pPr>
      <w:r>
        <w:rPr>
          <w:rFonts w:hint="eastAsia" w:ascii="仿宋_GB2312" w:eastAsia="仿宋_GB2312" w:cs="仿宋_GB2312"/>
          <w:color w:val="auto"/>
          <w:sz w:val="32"/>
          <w:szCs w:val="32"/>
        </w:rPr>
        <w:t>（一）在本区注册设立且经营不满一年，注册资本不低于</w:t>
      </w:r>
      <w:r>
        <w:rPr>
          <w:rFonts w:ascii="仿宋_GB2312" w:eastAsia="仿宋_GB2312" w:cs="仿宋_GB2312"/>
          <w:color w:val="auto"/>
          <w:sz w:val="32"/>
          <w:szCs w:val="32"/>
        </w:rPr>
        <w:t>1</w:t>
      </w:r>
      <w:r>
        <w:rPr>
          <w:rFonts w:hint="eastAsia" w:ascii="仿宋_GB2312" w:eastAsia="仿宋_GB2312" w:cs="仿宋_GB2312"/>
          <w:color w:val="auto"/>
          <w:sz w:val="32"/>
          <w:szCs w:val="32"/>
        </w:rPr>
        <w:t>亿元（人民币</w:t>
      </w:r>
      <w:r>
        <w:rPr>
          <w:rFonts w:ascii="仿宋_GB2312" w:eastAsia="仿宋_GB2312" w:cs="仿宋_GB2312"/>
          <w:color w:val="auto"/>
          <w:sz w:val="32"/>
          <w:szCs w:val="32"/>
        </w:rPr>
        <w:t>，下同</w:t>
      </w:r>
      <w:r>
        <w:rPr>
          <w:rFonts w:hint="eastAsia" w:ascii="仿宋_GB2312" w:eastAsia="仿宋_GB2312" w:cs="仿宋_GB2312"/>
          <w:color w:val="auto"/>
          <w:sz w:val="32"/>
          <w:szCs w:val="32"/>
        </w:rPr>
        <w:t>），其控股母公司总资产不低于</w:t>
      </w:r>
      <w:r>
        <w:rPr>
          <w:rFonts w:ascii="仿宋_GB2312" w:eastAsia="仿宋_GB2312" w:cs="仿宋_GB2312"/>
          <w:color w:val="auto"/>
          <w:sz w:val="32"/>
          <w:szCs w:val="32"/>
        </w:rPr>
        <w:t>20</w:t>
      </w:r>
      <w:r>
        <w:rPr>
          <w:rFonts w:hint="eastAsia" w:ascii="仿宋_GB2312" w:eastAsia="仿宋_GB2312" w:cs="仿宋_GB2312"/>
          <w:color w:val="auto"/>
          <w:sz w:val="32"/>
          <w:szCs w:val="32"/>
        </w:rPr>
        <w:t>亿元，承诺在申请认定次年形成区级财政贡献不低于1000万元。</w:t>
      </w:r>
    </w:p>
    <w:p>
      <w:pPr>
        <w:pStyle w:val="28"/>
        <w:spacing w:line="560" w:lineRule="atLeast"/>
        <w:ind w:firstLine="640" w:firstLineChars="200"/>
        <w:jc w:val="both"/>
        <w:rPr>
          <w:rFonts w:ascii="仿宋_GB2312" w:eastAsia="仿宋_GB2312" w:cs="仿宋_GB2312"/>
          <w:color w:val="auto"/>
          <w:sz w:val="32"/>
          <w:szCs w:val="32"/>
        </w:rPr>
      </w:pPr>
      <w:r>
        <w:rPr>
          <w:rFonts w:hint="eastAsia" w:ascii="仿宋_GB2312" w:eastAsia="仿宋_GB2312" w:cs="仿宋_GB2312"/>
          <w:color w:val="auto"/>
          <w:sz w:val="32"/>
          <w:szCs w:val="32"/>
        </w:rPr>
        <w:t>（二）由原注册地新迁入且经营不满一年，注册资本不低于</w:t>
      </w:r>
      <w:r>
        <w:rPr>
          <w:rFonts w:ascii="仿宋_GB2312" w:eastAsia="仿宋_GB2312" w:cs="仿宋_GB2312"/>
          <w:color w:val="auto"/>
          <w:sz w:val="32"/>
          <w:szCs w:val="32"/>
        </w:rPr>
        <w:t>1</w:t>
      </w:r>
      <w:r>
        <w:rPr>
          <w:rFonts w:hint="eastAsia" w:ascii="仿宋_GB2312" w:eastAsia="仿宋_GB2312" w:cs="仿宋_GB2312"/>
          <w:color w:val="auto"/>
          <w:sz w:val="32"/>
          <w:szCs w:val="32"/>
        </w:rPr>
        <w:t>亿元，</w:t>
      </w:r>
      <w:r>
        <w:rPr>
          <w:rFonts w:hint="eastAsia" w:ascii="仿宋_GB2312" w:hAnsi="仿宋_GB2312" w:eastAsia="仿宋_GB2312" w:cs="仿宋_GB2312"/>
          <w:color w:val="auto"/>
          <w:sz w:val="32"/>
          <w:szCs w:val="32"/>
        </w:rPr>
        <w:t>上年度</w:t>
      </w:r>
      <w:r>
        <w:rPr>
          <w:rFonts w:hint="eastAsia" w:ascii="仿宋_GB2312" w:eastAsia="仿宋_GB2312" w:cs="仿宋_GB2312"/>
          <w:color w:val="auto"/>
          <w:sz w:val="32"/>
          <w:szCs w:val="32"/>
        </w:rPr>
        <w:t>企业</w:t>
      </w:r>
      <w:r>
        <w:rPr>
          <w:rFonts w:hint="eastAsia" w:ascii="仿宋_GB2312" w:eastAsia="仿宋_GB2312"/>
          <w:color w:val="auto"/>
          <w:sz w:val="32"/>
          <w:szCs w:val="32"/>
        </w:rPr>
        <w:t>纳税总额不低于3000万元</w:t>
      </w:r>
      <w:r>
        <w:rPr>
          <w:rFonts w:hint="eastAsia" w:ascii="仿宋_GB2312" w:eastAsia="仿宋_GB2312" w:cs="仿宋_GB2312"/>
          <w:color w:val="auto"/>
          <w:sz w:val="32"/>
          <w:szCs w:val="32"/>
        </w:rPr>
        <w:t>，承诺在申请认定次年形成区级财政贡献不低于1000万元。</w:t>
      </w:r>
    </w:p>
    <w:p>
      <w:pPr>
        <w:pStyle w:val="28"/>
        <w:spacing w:line="560" w:lineRule="atLeast"/>
        <w:ind w:firstLine="640" w:firstLineChars="200"/>
        <w:jc w:val="both"/>
        <w:rPr>
          <w:rFonts w:ascii="仿宋_GB2312" w:eastAsia="仿宋_GB2312" w:cs="仿宋_GB2312"/>
          <w:color w:val="auto"/>
          <w:sz w:val="32"/>
          <w:szCs w:val="32"/>
        </w:rPr>
      </w:pPr>
      <w:r>
        <w:rPr>
          <w:rFonts w:hint="eastAsia" w:ascii="仿宋_GB2312" w:eastAsia="仿宋_GB2312" w:cs="仿宋_GB2312"/>
          <w:color w:val="auto"/>
          <w:sz w:val="32"/>
          <w:szCs w:val="32"/>
        </w:rPr>
        <w:t>（三）在本区注册且在本区持续经营一年（含一年）以上，上年度形成区级财政贡献不低于1000万元。</w:t>
      </w:r>
    </w:p>
    <w:p>
      <w:pPr>
        <w:pStyle w:val="28"/>
        <w:spacing w:line="560" w:lineRule="atLeast"/>
        <w:ind w:firstLine="640" w:firstLineChars="200"/>
        <w:jc w:val="both"/>
        <w:rPr>
          <w:rFonts w:ascii="仿宋_GB2312" w:eastAsia="仿宋_GB2312" w:cs="仿宋_GB2312"/>
          <w:color w:val="auto"/>
          <w:sz w:val="32"/>
          <w:szCs w:val="32"/>
        </w:rPr>
      </w:pPr>
      <w:r>
        <w:rPr>
          <w:rFonts w:hint="eastAsia" w:ascii="仿宋_GB2312" w:eastAsia="仿宋_GB2312" w:cs="仿宋_GB2312"/>
          <w:color w:val="auto"/>
          <w:sz w:val="32"/>
          <w:szCs w:val="32"/>
        </w:rPr>
        <w:t>（四）在境内证券交易所（包括上海证券交易所、深圳证券交易所主板、中小企业板、创业板、科创板）和境外主要证券交易所（纽约证券交易所、纳斯达克证券交易所、伦敦证券交易所、东京证券交易所、香港证券交易所、新加坡证券交易所、法兰克福证券交易所）上市的公司总部可直接认定为区总部企业。</w:t>
      </w:r>
    </w:p>
    <w:p>
      <w:pPr>
        <w:pStyle w:val="28"/>
        <w:spacing w:line="560" w:lineRule="atLeast"/>
        <w:ind w:firstLine="640" w:firstLineChars="200"/>
        <w:jc w:val="both"/>
        <w:rPr>
          <w:rFonts w:ascii="仿宋_GB2312" w:eastAsia="仿宋_GB2312" w:cs="仿宋_GB2312"/>
          <w:color w:val="auto"/>
          <w:sz w:val="32"/>
          <w:szCs w:val="32"/>
        </w:rPr>
      </w:pPr>
      <w:r>
        <w:rPr>
          <w:rFonts w:hint="eastAsia" w:ascii="仿宋_GB2312" w:eastAsia="仿宋_GB2312" w:cs="仿宋_GB2312"/>
          <w:color w:val="auto"/>
          <w:sz w:val="32"/>
          <w:szCs w:val="32"/>
        </w:rPr>
        <w:t>（五）工商及税务登记在区的市级总部企业可直接认定为区总部企业。</w:t>
      </w:r>
    </w:p>
    <w:p>
      <w:pPr>
        <w:pStyle w:val="28"/>
        <w:spacing w:line="560" w:lineRule="atLeast"/>
        <w:ind w:firstLine="640" w:firstLineChars="200"/>
        <w:jc w:val="both"/>
        <w:rPr>
          <w:rFonts w:ascii="仿宋_GB2312" w:eastAsia="仿宋_GB2312" w:cs="仿宋_GB2312"/>
          <w:color w:val="auto"/>
          <w:sz w:val="32"/>
          <w:szCs w:val="32"/>
        </w:rPr>
      </w:pPr>
      <w:r>
        <w:rPr>
          <w:rFonts w:hint="eastAsia" w:ascii="仿宋_GB2312" w:eastAsia="仿宋_GB2312" w:cs="仿宋_GB2312"/>
          <w:color w:val="auto"/>
          <w:sz w:val="32"/>
          <w:szCs w:val="32"/>
        </w:rPr>
        <w:t>（六）对于产业主管部门引进并认定的对我区重点产业发展具有填补空白和完善产业链作用或者核心技术处于国内外先进地位的企业，经与区政府签订合作协议，可申请认定为区总部企业。</w:t>
      </w:r>
    </w:p>
    <w:p>
      <w:pPr>
        <w:snapToGrid w:val="0"/>
        <w:spacing w:line="520" w:lineRule="exact"/>
        <w:ind w:firstLine="640"/>
        <w:rPr>
          <w:rFonts w:ascii="黑体" w:hAnsi="Calibri" w:eastAsia="黑体"/>
          <w:szCs w:val="32"/>
        </w:rPr>
      </w:pPr>
      <w:r>
        <w:rPr>
          <w:rFonts w:hint="eastAsia" w:ascii="黑体" w:hAnsi="Calibri" w:eastAsia="黑体"/>
          <w:szCs w:val="32"/>
        </w:rPr>
        <w:t>五、申请材料</w:t>
      </w:r>
    </w:p>
    <w:p>
      <w:pPr>
        <w:snapToGrid w:val="0"/>
        <w:spacing w:line="520" w:lineRule="exact"/>
        <w:ind w:firstLine="640"/>
        <w:rPr>
          <w:rFonts w:ascii="仿宋_GB2312"/>
          <w:szCs w:val="32"/>
        </w:rPr>
      </w:pPr>
      <w:r>
        <w:rPr>
          <w:rFonts w:hint="eastAsia" w:ascii="仿宋_GB2312"/>
          <w:szCs w:val="32"/>
        </w:rPr>
        <w:t>（一）《盐田区产业发展资金扶持项目申请书》（附件</w:t>
      </w:r>
      <w:r>
        <w:rPr>
          <w:rFonts w:hint="eastAsia" w:ascii="仿宋_GB2312"/>
          <w:szCs w:val="32"/>
          <w:lang w:val="en-US" w:eastAsia="zh-CN"/>
        </w:rPr>
        <w:t>2</w:t>
      </w:r>
      <w:r>
        <w:rPr>
          <w:rFonts w:hint="eastAsia" w:ascii="仿宋_GB2312"/>
          <w:szCs w:val="32"/>
        </w:rPr>
        <w:t>）原件及电子文档，原件为在电脑上按要求填写后打印生成的纸质文件原件（需签字盖章），电子文档为填写后的Word版电子文档（电子文档需发邮件至yantianqifu@yantian.gov.cn）。</w:t>
      </w:r>
    </w:p>
    <w:p>
      <w:pPr>
        <w:snapToGrid w:val="0"/>
        <w:spacing w:line="520" w:lineRule="exact"/>
        <w:ind w:firstLine="640"/>
        <w:rPr>
          <w:rFonts w:ascii="仿宋_GB2312"/>
          <w:szCs w:val="32"/>
        </w:rPr>
      </w:pPr>
      <w:r>
        <w:rPr>
          <w:rFonts w:hint="eastAsia" w:ascii="仿宋_GB2312"/>
          <w:szCs w:val="32"/>
        </w:rPr>
        <w:t>（二）营业执照复印件。</w:t>
      </w:r>
    </w:p>
    <w:p>
      <w:pPr>
        <w:snapToGrid w:val="0"/>
        <w:spacing w:line="520" w:lineRule="exact"/>
        <w:ind w:firstLine="640"/>
        <w:rPr>
          <w:rFonts w:ascii="仿宋_GB2312"/>
          <w:szCs w:val="32"/>
        </w:rPr>
      </w:pPr>
      <w:r>
        <w:rPr>
          <w:rFonts w:hint="eastAsia" w:ascii="仿宋_GB2312"/>
          <w:szCs w:val="32"/>
        </w:rPr>
        <w:t>（三）法人代表身份证复印件（法定代表人签字）或法人委托书原件及代理人身份证复印件。</w:t>
      </w:r>
    </w:p>
    <w:p>
      <w:pPr>
        <w:snapToGrid w:val="0"/>
        <w:spacing w:line="520" w:lineRule="exact"/>
        <w:ind w:firstLine="640"/>
        <w:rPr>
          <w:rFonts w:ascii="仿宋_GB2312"/>
          <w:szCs w:val="32"/>
        </w:rPr>
      </w:pPr>
      <w:r>
        <w:rPr>
          <w:rFonts w:hint="eastAsia" w:ascii="仿宋_GB2312"/>
          <w:szCs w:val="32"/>
        </w:rPr>
        <w:t>（四）纳入统计核算的控股企业或分支机构营业执照复印件、与本企业的隶属关系证明。</w:t>
      </w:r>
    </w:p>
    <w:p>
      <w:pPr>
        <w:snapToGrid w:val="0"/>
        <w:spacing w:line="520" w:lineRule="exact"/>
        <w:ind w:firstLine="640"/>
        <w:rPr>
          <w:rFonts w:ascii="仿宋_GB2312"/>
          <w:szCs w:val="32"/>
        </w:rPr>
      </w:pPr>
      <w:r>
        <w:rPr>
          <w:rFonts w:hint="eastAsia" w:ascii="仿宋_GB2312"/>
          <w:szCs w:val="32"/>
        </w:rPr>
        <w:t>（五）</w:t>
      </w:r>
      <w:r>
        <w:rPr>
          <w:rFonts w:hint="eastAsia" w:ascii="仿宋_GB2312"/>
          <w:szCs w:val="32"/>
          <w:highlight w:val="none"/>
        </w:rPr>
        <w:t>承诺书</w:t>
      </w:r>
      <w:r>
        <w:rPr>
          <w:rFonts w:hint="eastAsia" w:ascii="仿宋_GB2312"/>
          <w:szCs w:val="32"/>
        </w:rPr>
        <w:t>（附件</w:t>
      </w:r>
      <w:bookmarkStart w:id="7" w:name="_GoBack"/>
      <w:bookmarkEnd w:id="7"/>
      <w:r>
        <w:rPr>
          <w:rFonts w:hint="eastAsia" w:ascii="仿宋_GB2312"/>
          <w:szCs w:val="32"/>
          <w:lang w:val="en-US" w:eastAsia="zh-CN"/>
        </w:rPr>
        <w:t>3</w:t>
      </w:r>
      <w:r>
        <w:rPr>
          <w:rFonts w:hint="eastAsia" w:ascii="仿宋_GB2312"/>
          <w:szCs w:val="32"/>
        </w:rPr>
        <w:t>）</w:t>
      </w:r>
    </w:p>
    <w:p>
      <w:pPr>
        <w:snapToGrid w:val="0"/>
        <w:spacing w:line="520" w:lineRule="exact"/>
        <w:ind w:firstLine="640"/>
        <w:rPr>
          <w:rFonts w:ascii="仿宋_GB2312"/>
          <w:b/>
          <w:szCs w:val="32"/>
        </w:rPr>
      </w:pPr>
      <w:r>
        <w:rPr>
          <w:rFonts w:hint="eastAsia" w:ascii="仿宋_GB2312"/>
          <w:szCs w:val="32"/>
        </w:rPr>
        <w:t>（六）</w:t>
      </w:r>
      <w:r>
        <w:rPr>
          <w:rFonts w:hint="eastAsia" w:ascii="仿宋_GB2312"/>
          <w:b/>
          <w:szCs w:val="32"/>
        </w:rPr>
        <w:t>申请</w:t>
      </w:r>
      <w:r>
        <w:rPr>
          <w:rFonts w:hint="eastAsia" w:ascii="仿宋_GB2312" w:cs="仿宋_GB2312"/>
          <w:b/>
          <w:szCs w:val="32"/>
        </w:rPr>
        <w:t>《盐田区支持总部企业发展实施办法》（以下简称《办法》）</w:t>
      </w:r>
      <w:r>
        <w:rPr>
          <w:rFonts w:hint="eastAsia" w:ascii="仿宋_GB2312"/>
          <w:b/>
          <w:szCs w:val="32"/>
        </w:rPr>
        <w:t>第六条第一款总部企业认定的，还须提供以下资料：</w:t>
      </w:r>
    </w:p>
    <w:p>
      <w:pPr>
        <w:snapToGrid w:val="0"/>
        <w:spacing w:line="520" w:lineRule="exact"/>
        <w:ind w:firstLine="640"/>
        <w:rPr>
          <w:rFonts w:ascii="仿宋_GB2312"/>
          <w:szCs w:val="32"/>
        </w:rPr>
      </w:pPr>
      <w:r>
        <w:rPr>
          <w:rFonts w:hint="eastAsia" w:ascii="仿宋_GB2312"/>
          <w:szCs w:val="32"/>
        </w:rPr>
        <w:t>1、控股母公司上年度财务审计报告复印件（验原件）；</w:t>
      </w:r>
    </w:p>
    <w:p>
      <w:pPr>
        <w:snapToGrid w:val="0"/>
        <w:spacing w:line="520" w:lineRule="exact"/>
        <w:ind w:firstLine="640"/>
        <w:rPr>
          <w:rFonts w:ascii="仿宋_GB2312"/>
          <w:szCs w:val="32"/>
        </w:rPr>
      </w:pPr>
      <w:r>
        <w:rPr>
          <w:rFonts w:hint="eastAsia" w:ascii="仿宋_GB2312"/>
          <w:szCs w:val="32"/>
        </w:rPr>
        <w:t>2、其他证明材料（如设立批准文件、商业计划书等）。</w:t>
      </w:r>
    </w:p>
    <w:p>
      <w:pPr>
        <w:snapToGrid w:val="0"/>
        <w:spacing w:line="520" w:lineRule="exact"/>
        <w:ind w:firstLine="640"/>
        <w:rPr>
          <w:b/>
          <w:szCs w:val="21"/>
        </w:rPr>
      </w:pPr>
      <w:r>
        <w:rPr>
          <w:rFonts w:hint="eastAsia" w:ascii="仿宋_GB2312"/>
          <w:szCs w:val="32"/>
        </w:rPr>
        <w:t>（七）</w:t>
      </w:r>
      <w:r>
        <w:rPr>
          <w:rFonts w:hint="eastAsia"/>
          <w:b/>
          <w:szCs w:val="21"/>
        </w:rPr>
        <w:t>申请</w:t>
      </w:r>
      <w:r>
        <w:rPr>
          <w:rFonts w:hint="eastAsia" w:ascii="仿宋_GB2312" w:cs="仿宋_GB2312"/>
          <w:b/>
          <w:szCs w:val="32"/>
        </w:rPr>
        <w:t>《办法》</w:t>
      </w:r>
      <w:r>
        <w:rPr>
          <w:rFonts w:hint="eastAsia"/>
          <w:b/>
          <w:szCs w:val="21"/>
        </w:rPr>
        <w:t>第六条第二款总部企业认定的，还须提供如下材料：</w:t>
      </w:r>
    </w:p>
    <w:p>
      <w:pPr>
        <w:snapToGrid w:val="0"/>
        <w:spacing w:line="520" w:lineRule="exact"/>
        <w:ind w:firstLine="640"/>
        <w:rPr>
          <w:rFonts w:ascii="仿宋_GB2312"/>
          <w:szCs w:val="32"/>
        </w:rPr>
      </w:pPr>
      <w:r>
        <w:rPr>
          <w:rFonts w:hint="eastAsia" w:ascii="仿宋_GB2312"/>
          <w:szCs w:val="21"/>
        </w:rPr>
        <w:t>税务部门出具的企业（包括纳入统计核算的控股企业或分支机构）上年度纳税证明复印件</w:t>
      </w:r>
      <w:r>
        <w:rPr>
          <w:rFonts w:hint="eastAsia"/>
          <w:lang w:eastAsia="zh-CN"/>
        </w:rPr>
        <w:t>、</w:t>
      </w:r>
      <w:r>
        <w:rPr>
          <w:rFonts w:hint="eastAsia"/>
          <w:color w:val="000000" w:themeColor="text1"/>
          <w:lang w:eastAsia="zh-CN"/>
        </w:rPr>
        <w:t>上年度</w:t>
      </w:r>
      <w:r>
        <w:rPr>
          <w:rFonts w:hint="eastAsia"/>
          <w:color w:val="000000" w:themeColor="text1"/>
          <w:lang w:val="en-US" w:eastAsia="zh-CN"/>
        </w:rPr>
        <w:t>12个月</w:t>
      </w:r>
      <w:r>
        <w:rPr>
          <w:rFonts w:hint="eastAsia" w:ascii="仿宋_GB2312"/>
          <w:color w:val="000000" w:themeColor="text1"/>
          <w:szCs w:val="32"/>
          <w:lang w:val="en-US" w:eastAsia="zh-CN"/>
        </w:rPr>
        <w:t>个人所得税税收完税证明复印件</w:t>
      </w:r>
      <w:r>
        <w:rPr>
          <w:rFonts w:hint="eastAsia" w:ascii="仿宋_GB2312"/>
          <w:szCs w:val="32"/>
        </w:rPr>
        <w:t>。</w:t>
      </w:r>
    </w:p>
    <w:p>
      <w:pPr>
        <w:snapToGrid w:val="0"/>
        <w:spacing w:line="520" w:lineRule="exact"/>
        <w:ind w:firstLine="640"/>
        <w:rPr>
          <w:b/>
          <w:szCs w:val="21"/>
        </w:rPr>
      </w:pPr>
      <w:r>
        <w:rPr>
          <w:rFonts w:hint="eastAsia" w:ascii="仿宋_GB2312"/>
          <w:szCs w:val="32"/>
        </w:rPr>
        <w:t>（八）</w:t>
      </w:r>
      <w:r>
        <w:rPr>
          <w:rFonts w:hint="eastAsia"/>
          <w:b/>
          <w:szCs w:val="21"/>
        </w:rPr>
        <w:t>申请</w:t>
      </w:r>
      <w:r>
        <w:rPr>
          <w:rFonts w:hint="eastAsia" w:ascii="仿宋_GB2312" w:cs="仿宋_GB2312"/>
          <w:b/>
          <w:szCs w:val="32"/>
        </w:rPr>
        <w:t>《办法》</w:t>
      </w:r>
      <w:r>
        <w:rPr>
          <w:rFonts w:hint="eastAsia"/>
          <w:b/>
          <w:szCs w:val="21"/>
        </w:rPr>
        <w:t>第六条第三款总部企业认定的，还须提供如下材料：</w:t>
      </w:r>
    </w:p>
    <w:p>
      <w:pPr>
        <w:pStyle w:val="19"/>
        <w:ind w:firstLine="640" w:firstLineChars="200"/>
        <w:rPr>
          <w:strike/>
          <w:dstrike w:val="0"/>
          <w:color w:val="000000" w:themeColor="text1"/>
          <w:szCs w:val="21"/>
        </w:rPr>
      </w:pPr>
      <w:r>
        <w:rPr>
          <w:rFonts w:hint="eastAsia"/>
        </w:rPr>
        <w:t>税务部门出具的企业（包括纳入统计核算的控股企业或分支机构）上年度纳税证明复印件</w:t>
      </w:r>
      <w:r>
        <w:rPr>
          <w:rFonts w:hint="eastAsia"/>
          <w:lang w:eastAsia="zh-CN"/>
        </w:rPr>
        <w:t>、</w:t>
      </w:r>
      <w:r>
        <w:rPr>
          <w:rFonts w:hint="eastAsia"/>
          <w:color w:val="000000" w:themeColor="text1"/>
          <w:lang w:eastAsia="zh-CN"/>
        </w:rPr>
        <w:t>上年度</w:t>
      </w:r>
      <w:r>
        <w:rPr>
          <w:rFonts w:hint="eastAsia" w:ascii="仿宋_GB2312" w:hAnsi="仿宋_GB2312" w:eastAsia="仿宋_GB2312" w:cs="仿宋_GB2312"/>
          <w:color w:val="000000" w:themeColor="text1"/>
          <w:lang w:val="en-US" w:eastAsia="zh-CN"/>
        </w:rPr>
        <w:t>12</w:t>
      </w:r>
      <w:r>
        <w:rPr>
          <w:rFonts w:hint="eastAsia"/>
          <w:color w:val="000000" w:themeColor="text1"/>
          <w:lang w:val="en-US" w:eastAsia="zh-CN"/>
        </w:rPr>
        <w:t>个月</w:t>
      </w:r>
      <w:r>
        <w:rPr>
          <w:rFonts w:hint="eastAsia" w:ascii="仿宋_GB2312"/>
          <w:color w:val="000000" w:themeColor="text1"/>
          <w:szCs w:val="32"/>
          <w:lang w:val="en-US" w:eastAsia="zh-CN"/>
        </w:rPr>
        <w:t>个人所得税税收完税证明复印件。</w:t>
      </w:r>
    </w:p>
    <w:p>
      <w:pPr>
        <w:snapToGrid w:val="0"/>
        <w:spacing w:line="520" w:lineRule="exact"/>
        <w:ind w:firstLine="640"/>
        <w:rPr>
          <w:b/>
          <w:szCs w:val="21"/>
        </w:rPr>
      </w:pPr>
      <w:r>
        <w:rPr>
          <w:rFonts w:hint="eastAsia" w:ascii="仿宋_GB2312"/>
          <w:szCs w:val="32"/>
        </w:rPr>
        <w:t>（九）</w:t>
      </w:r>
      <w:r>
        <w:rPr>
          <w:rFonts w:hint="eastAsia"/>
          <w:b/>
          <w:szCs w:val="21"/>
        </w:rPr>
        <w:t>申请</w:t>
      </w:r>
      <w:r>
        <w:rPr>
          <w:rFonts w:hint="eastAsia" w:ascii="仿宋_GB2312" w:cs="仿宋_GB2312"/>
          <w:b/>
          <w:szCs w:val="32"/>
        </w:rPr>
        <w:t>《办法》</w:t>
      </w:r>
      <w:r>
        <w:rPr>
          <w:rFonts w:hint="eastAsia"/>
          <w:b/>
          <w:szCs w:val="21"/>
        </w:rPr>
        <w:t>第六条第四款总部认定的，还需提供如下材料：</w:t>
      </w:r>
    </w:p>
    <w:p>
      <w:pPr>
        <w:snapToGrid w:val="0"/>
        <w:spacing w:line="520" w:lineRule="exact"/>
        <w:ind w:firstLine="640"/>
        <w:rPr>
          <w:rFonts w:ascii="仿宋_GB2312"/>
          <w:szCs w:val="32"/>
        </w:rPr>
      </w:pPr>
      <w:r>
        <w:rPr>
          <w:rFonts w:hint="eastAsia" w:ascii="仿宋_GB2312"/>
          <w:szCs w:val="32"/>
        </w:rPr>
        <w:t>在境内外证券市场上市证明(如</w:t>
      </w:r>
      <w:r>
        <w:rPr>
          <w:rFonts w:hint="eastAsia"/>
        </w:rPr>
        <w:t>证券交易所出具的能够证明该企业已办理上市相关手续的公函复印件)（</w:t>
      </w:r>
      <w:r>
        <w:rPr>
          <w:rFonts w:hint="eastAsia" w:ascii="仿宋_GB2312"/>
          <w:szCs w:val="32"/>
        </w:rPr>
        <w:t>验原件）。</w:t>
      </w:r>
    </w:p>
    <w:p>
      <w:pPr>
        <w:snapToGrid w:val="0"/>
        <w:spacing w:line="520" w:lineRule="exact"/>
        <w:ind w:firstLine="640"/>
        <w:rPr>
          <w:b/>
          <w:szCs w:val="21"/>
        </w:rPr>
      </w:pPr>
      <w:r>
        <w:rPr>
          <w:rFonts w:hint="eastAsia" w:ascii="仿宋_GB2312"/>
          <w:szCs w:val="32"/>
        </w:rPr>
        <w:t>（十）</w:t>
      </w:r>
      <w:r>
        <w:rPr>
          <w:rFonts w:hint="eastAsia"/>
          <w:b/>
          <w:szCs w:val="21"/>
        </w:rPr>
        <w:t>申请</w:t>
      </w:r>
      <w:r>
        <w:rPr>
          <w:rFonts w:hint="eastAsia" w:ascii="仿宋_GB2312" w:cs="仿宋_GB2312"/>
          <w:b/>
          <w:szCs w:val="32"/>
        </w:rPr>
        <w:t>《办法》</w:t>
      </w:r>
      <w:r>
        <w:rPr>
          <w:rFonts w:hint="eastAsia"/>
          <w:b/>
          <w:szCs w:val="21"/>
        </w:rPr>
        <w:t>第六条第五款总部认定的，还需提供如下材料：</w:t>
      </w:r>
    </w:p>
    <w:p>
      <w:pPr>
        <w:snapToGrid w:val="0"/>
        <w:spacing w:line="520" w:lineRule="exact"/>
        <w:ind w:firstLine="640"/>
        <w:rPr>
          <w:rFonts w:ascii="仿宋_GB2312"/>
          <w:szCs w:val="32"/>
        </w:rPr>
      </w:pPr>
      <w:r>
        <w:rPr>
          <w:rFonts w:hint="eastAsia"/>
          <w:szCs w:val="21"/>
        </w:rPr>
        <w:t>市认定证书复印件或相关证明材料。</w:t>
      </w:r>
    </w:p>
    <w:p>
      <w:pPr>
        <w:snapToGrid w:val="0"/>
        <w:spacing w:line="520" w:lineRule="exact"/>
        <w:ind w:firstLine="640"/>
        <w:rPr>
          <w:b/>
          <w:szCs w:val="21"/>
        </w:rPr>
      </w:pPr>
      <w:r>
        <w:rPr>
          <w:rFonts w:hint="eastAsia" w:ascii="仿宋_GB2312"/>
          <w:szCs w:val="32"/>
        </w:rPr>
        <w:t>（十一）</w:t>
      </w:r>
      <w:r>
        <w:rPr>
          <w:rFonts w:hint="eastAsia"/>
          <w:b/>
          <w:szCs w:val="21"/>
        </w:rPr>
        <w:t>申请</w:t>
      </w:r>
      <w:r>
        <w:rPr>
          <w:rFonts w:hint="eastAsia" w:ascii="仿宋_GB2312" w:cs="仿宋_GB2312"/>
          <w:b/>
          <w:szCs w:val="32"/>
        </w:rPr>
        <w:t>《办法》</w:t>
      </w:r>
      <w:r>
        <w:rPr>
          <w:rFonts w:hint="eastAsia"/>
          <w:b/>
          <w:szCs w:val="21"/>
        </w:rPr>
        <w:t>第六条第六款总部认定的，还需提供如下材料：</w:t>
      </w:r>
    </w:p>
    <w:p>
      <w:pPr>
        <w:snapToGrid w:val="0"/>
        <w:spacing w:line="520" w:lineRule="exact"/>
        <w:ind w:firstLine="640"/>
        <w:rPr>
          <w:rFonts w:ascii="仿宋_GB2312"/>
          <w:szCs w:val="32"/>
        </w:rPr>
      </w:pPr>
      <w:r>
        <w:rPr>
          <w:rFonts w:hint="eastAsia" w:ascii="仿宋_GB2312"/>
          <w:szCs w:val="32"/>
        </w:rPr>
        <w:t>与区政府签订的合作协议复印件等材料（验原件）。</w:t>
      </w:r>
    </w:p>
    <w:p>
      <w:pPr>
        <w:snapToGrid w:val="0"/>
        <w:spacing w:line="520" w:lineRule="exact"/>
        <w:ind w:firstLine="640"/>
        <w:rPr>
          <w:rFonts w:ascii="Calibri" w:hAnsi="Calibri"/>
          <w:szCs w:val="22"/>
        </w:rPr>
      </w:pPr>
      <w:r>
        <w:rPr>
          <w:rFonts w:hint="eastAsia" w:ascii="仿宋_GB2312" w:hAnsi="Calibri"/>
          <w:szCs w:val="32"/>
        </w:rPr>
        <w:t>以上材料一式贰份，</w:t>
      </w:r>
      <w:r>
        <w:rPr>
          <w:rFonts w:hint="eastAsia" w:ascii="Calibri" w:hAnsi="Calibri"/>
          <w:szCs w:val="22"/>
        </w:rPr>
        <w:t>编制封面（封面采用申请书的封面）及目录（目录按照申请书中“材料清</w:t>
      </w:r>
      <w:r>
        <w:rPr>
          <w:rFonts w:hint="eastAsia" w:ascii="仿宋_GB2312" w:hAnsi="Calibri"/>
          <w:szCs w:val="22"/>
        </w:rPr>
        <w:t>单”所列“附件”的顺序编写，并标明其在材料中对应的页码），A4纸正</w:t>
      </w:r>
      <w:r>
        <w:rPr>
          <w:rFonts w:hint="eastAsia" w:ascii="Calibri" w:hAnsi="Calibri"/>
          <w:szCs w:val="22"/>
        </w:rPr>
        <w:t>反面打印</w:t>
      </w:r>
      <w:r>
        <w:rPr>
          <w:rFonts w:ascii="Calibri" w:hAnsi="Calibri"/>
          <w:szCs w:val="22"/>
        </w:rPr>
        <w:t>/</w:t>
      </w:r>
      <w:r>
        <w:rPr>
          <w:rFonts w:hint="eastAsia" w:ascii="Calibri" w:hAnsi="Calibri"/>
          <w:szCs w:val="22"/>
        </w:rPr>
        <w:t>复印，非空白页（含封面）需连续编写页码，装订成册（胶装），加盖骑缝章。</w:t>
      </w:r>
    </w:p>
    <w:p>
      <w:pPr>
        <w:snapToGrid w:val="0"/>
        <w:spacing w:line="520" w:lineRule="exact"/>
        <w:ind w:firstLine="640"/>
        <w:rPr>
          <w:rFonts w:ascii="黑体" w:hAnsi="Calibri" w:eastAsia="黑体"/>
          <w:szCs w:val="32"/>
        </w:rPr>
      </w:pPr>
      <w:r>
        <w:rPr>
          <w:rFonts w:hint="eastAsia" w:ascii="黑体" w:hAnsi="Calibri" w:eastAsia="黑体"/>
          <w:szCs w:val="32"/>
        </w:rPr>
        <w:t>六、申请表格</w:t>
      </w:r>
    </w:p>
    <w:p>
      <w:pPr>
        <w:snapToGrid w:val="0"/>
        <w:spacing w:line="520" w:lineRule="exact"/>
        <w:ind w:firstLine="640"/>
        <w:rPr>
          <w:rFonts w:ascii="仿宋_GB2312"/>
          <w:szCs w:val="32"/>
        </w:rPr>
      </w:pPr>
      <w:r>
        <w:rPr>
          <w:rFonts w:hint="eastAsia" w:ascii="仿宋_GB2312"/>
          <w:szCs w:val="32"/>
        </w:rPr>
        <w:t>《盐田区产业发展资金扶持项目申请书》（附件</w:t>
      </w:r>
      <w:r>
        <w:rPr>
          <w:rFonts w:hint="eastAsia" w:ascii="仿宋_GB2312"/>
          <w:szCs w:val="32"/>
          <w:lang w:val="en-US" w:eastAsia="zh-CN"/>
        </w:rPr>
        <w:t>2</w:t>
      </w:r>
      <w:r>
        <w:rPr>
          <w:rFonts w:hint="eastAsia" w:ascii="仿宋_GB2312"/>
          <w:szCs w:val="32"/>
        </w:rPr>
        <w:t>）。</w:t>
      </w:r>
    </w:p>
    <w:p>
      <w:pPr>
        <w:snapToGrid w:val="0"/>
        <w:spacing w:line="520" w:lineRule="exact"/>
        <w:ind w:firstLine="640"/>
        <w:rPr>
          <w:rFonts w:ascii="黑体" w:hAnsi="Calibri" w:eastAsia="黑体"/>
          <w:szCs w:val="32"/>
        </w:rPr>
      </w:pPr>
      <w:r>
        <w:rPr>
          <w:rFonts w:hint="eastAsia" w:ascii="黑体" w:hAnsi="Calibri" w:eastAsia="黑体"/>
          <w:szCs w:val="32"/>
        </w:rPr>
        <w:t>七、受理机关、受理时限及地点</w:t>
      </w:r>
    </w:p>
    <w:p>
      <w:pPr>
        <w:snapToGrid w:val="0"/>
        <w:spacing w:line="520" w:lineRule="exact"/>
        <w:ind w:firstLine="640"/>
        <w:rPr>
          <w:rFonts w:ascii="仿宋_GB2312" w:hAnsi="Calibri"/>
          <w:szCs w:val="32"/>
        </w:rPr>
      </w:pPr>
      <w:r>
        <w:rPr>
          <w:rFonts w:hint="eastAsia" w:ascii="仿宋_GB2312" w:hAnsi="Calibri"/>
          <w:szCs w:val="32"/>
        </w:rPr>
        <w:t>（一）受理机关：盐田区工业和信息化局。</w:t>
      </w:r>
    </w:p>
    <w:p>
      <w:pPr>
        <w:snapToGrid w:val="0"/>
        <w:spacing w:line="520" w:lineRule="exact"/>
        <w:ind w:firstLine="640"/>
        <w:rPr>
          <w:rFonts w:hint="eastAsia" w:ascii="仿宋_GB2312" w:hAnsi="Calibri"/>
          <w:szCs w:val="32"/>
        </w:rPr>
      </w:pPr>
      <w:r>
        <w:rPr>
          <w:rFonts w:hint="eastAsia" w:ascii="仿宋_GB2312" w:hAnsi="Calibri"/>
          <w:szCs w:val="32"/>
        </w:rPr>
        <w:t>（二）受理时限：2022年12月</w:t>
      </w:r>
      <w:r>
        <w:rPr>
          <w:rFonts w:hint="eastAsia" w:ascii="仿宋_GB2312" w:hAnsi="Calibri"/>
          <w:szCs w:val="32"/>
          <w:lang w:val="en-US" w:eastAsia="zh-CN"/>
        </w:rPr>
        <w:t>12</w:t>
      </w:r>
      <w:r>
        <w:rPr>
          <w:rFonts w:hint="eastAsia" w:ascii="仿宋_GB2312" w:hAnsi="Calibri"/>
          <w:szCs w:val="32"/>
        </w:rPr>
        <w:t>日-12月</w:t>
      </w:r>
      <w:r>
        <w:rPr>
          <w:rFonts w:hint="eastAsia" w:ascii="仿宋_GB2312" w:hAnsi="Calibri"/>
          <w:szCs w:val="32"/>
          <w:lang w:val="en-US" w:eastAsia="zh-CN"/>
        </w:rPr>
        <w:t>16</w:t>
      </w:r>
      <w:r>
        <w:rPr>
          <w:rFonts w:hint="eastAsia" w:ascii="仿宋_GB2312" w:hAnsi="Calibri"/>
          <w:szCs w:val="32"/>
        </w:rPr>
        <w:t>日，</w:t>
      </w:r>
      <w:r>
        <w:rPr>
          <w:rFonts w:hint="default" w:ascii="仿宋_GB2312" w:hAnsi="仿宋_GB2312" w:eastAsia="仿宋_GB2312" w:cs="仿宋_GB2312"/>
          <w:b w:val="0"/>
          <w:i w:val="0"/>
          <w:caps w:val="0"/>
          <w:color w:val="auto"/>
          <w:spacing w:val="0"/>
          <w:sz w:val="32"/>
          <w:szCs w:val="32"/>
          <w:shd w:val="clear" w:color="auto" w:fill="auto"/>
          <w:lang w:val="en-US" w:eastAsia="zh-CN"/>
        </w:rPr>
        <w:t>受理时间为法定工作日</w:t>
      </w:r>
      <w:r>
        <w:rPr>
          <w:rFonts w:hint="eastAsia" w:ascii="仿宋_GB2312" w:hAnsi="Calibri"/>
          <w:szCs w:val="32"/>
        </w:rPr>
        <w:t>上午9：00-12：00时，下午14：00-18：00时。</w:t>
      </w:r>
    </w:p>
    <w:p>
      <w:pPr>
        <w:snapToGrid w:val="0"/>
        <w:spacing w:line="520" w:lineRule="exact"/>
        <w:ind w:firstLine="640"/>
        <w:rPr>
          <w:rFonts w:ascii="仿宋_GB2312" w:hAnsi="Calibri"/>
          <w:szCs w:val="32"/>
        </w:rPr>
      </w:pPr>
      <w:r>
        <w:rPr>
          <w:rFonts w:hint="eastAsia" w:ascii="仿宋_GB2312" w:hAnsi="Calibri"/>
          <w:szCs w:val="32"/>
        </w:rPr>
        <w:t>（三）联系方式：0755-2522</w:t>
      </w:r>
      <w:r>
        <w:rPr>
          <w:rFonts w:hint="eastAsia" w:ascii="仿宋_GB2312" w:hAnsi="Calibri"/>
          <w:szCs w:val="32"/>
          <w:lang w:val="en-US" w:eastAsia="zh-CN"/>
        </w:rPr>
        <w:t>7187</w:t>
      </w:r>
      <w:r>
        <w:rPr>
          <w:rFonts w:hint="eastAsia" w:ascii="仿宋_GB2312" w:hAnsi="Calibri"/>
          <w:szCs w:val="32"/>
        </w:rPr>
        <w:t>。</w:t>
      </w:r>
    </w:p>
    <w:p>
      <w:pPr>
        <w:snapToGrid w:val="0"/>
        <w:spacing w:line="520" w:lineRule="exact"/>
        <w:ind w:firstLine="640"/>
        <w:rPr>
          <w:rFonts w:ascii="仿宋_GB2312" w:hAnsi="Calibri"/>
          <w:szCs w:val="32"/>
        </w:rPr>
      </w:pPr>
      <w:r>
        <w:rPr>
          <w:rFonts w:hint="eastAsia" w:ascii="仿宋_GB2312" w:hAnsi="Calibri"/>
          <w:szCs w:val="32"/>
        </w:rPr>
        <w:t>（四）受理地点：盐田区行政中心4楼417室。</w:t>
      </w:r>
    </w:p>
    <w:p>
      <w:pPr>
        <w:snapToGrid w:val="0"/>
        <w:spacing w:line="520" w:lineRule="exact"/>
        <w:ind w:firstLine="640"/>
        <w:rPr>
          <w:rFonts w:ascii="黑体" w:hAnsi="Calibri" w:eastAsia="黑体"/>
          <w:szCs w:val="32"/>
        </w:rPr>
      </w:pPr>
      <w:r>
        <w:rPr>
          <w:rFonts w:hint="eastAsia" w:ascii="黑体" w:hAnsi="Calibri" w:eastAsia="黑体"/>
          <w:szCs w:val="32"/>
        </w:rPr>
        <w:t>八、决定机关</w:t>
      </w:r>
    </w:p>
    <w:p>
      <w:pPr>
        <w:snapToGrid w:val="0"/>
        <w:spacing w:line="520" w:lineRule="exact"/>
        <w:ind w:firstLine="640"/>
        <w:rPr>
          <w:rFonts w:ascii="仿宋_GB2312" w:hAnsi="Calibri"/>
          <w:szCs w:val="32"/>
        </w:rPr>
      </w:pPr>
      <w:r>
        <w:rPr>
          <w:rFonts w:hint="eastAsia" w:ascii="仿宋_GB2312" w:hAnsi="Calibri"/>
          <w:szCs w:val="32"/>
        </w:rPr>
        <w:t>盐田区政府。</w:t>
      </w:r>
    </w:p>
    <w:p>
      <w:pPr>
        <w:snapToGrid w:val="0"/>
        <w:spacing w:line="520" w:lineRule="exact"/>
        <w:ind w:firstLine="640"/>
        <w:rPr>
          <w:rFonts w:ascii="黑体" w:hAnsi="Calibri" w:eastAsia="黑体"/>
          <w:szCs w:val="32"/>
        </w:rPr>
      </w:pPr>
      <w:r>
        <w:rPr>
          <w:rFonts w:hint="eastAsia" w:ascii="黑体" w:hAnsi="Calibri" w:eastAsia="黑体"/>
          <w:szCs w:val="32"/>
        </w:rPr>
        <w:t>九、办理程序</w:t>
      </w:r>
    </w:p>
    <w:p>
      <w:pPr>
        <w:snapToGrid w:val="0"/>
        <w:spacing w:line="520" w:lineRule="exact"/>
        <w:ind w:firstLine="640"/>
        <w:rPr>
          <w:rFonts w:ascii="仿宋_GB2312" w:hAnsi="Calibri"/>
          <w:szCs w:val="32"/>
        </w:rPr>
      </w:pPr>
      <w:r>
        <w:rPr>
          <w:rFonts w:hint="eastAsia" w:ascii="仿宋_GB2312"/>
          <w:szCs w:val="32"/>
        </w:rPr>
        <w:t>申报单位</w:t>
      </w:r>
      <w:r>
        <w:rPr>
          <w:rFonts w:hint="eastAsia" w:ascii="仿宋_GB2312" w:hAnsi="Calibri"/>
          <w:szCs w:val="32"/>
        </w:rPr>
        <w:t>准备申请材料</w:t>
      </w:r>
      <w:r>
        <w:rPr>
          <w:rFonts w:hint="eastAsia" w:ascii="仿宋_GB2312"/>
          <w:szCs w:val="32"/>
        </w:rPr>
        <w:t>—</w:t>
      </w:r>
      <w:r>
        <w:rPr>
          <w:rFonts w:hint="eastAsia" w:ascii="仿宋_GB2312" w:hAnsi="Calibri"/>
          <w:szCs w:val="32"/>
        </w:rPr>
        <w:t>向</w:t>
      </w:r>
      <w:r>
        <w:rPr>
          <w:rFonts w:hint="eastAsia" w:ascii="仿宋_GB2312"/>
          <w:szCs w:val="32"/>
        </w:rPr>
        <w:t>盐田区工业和信息化局</w:t>
      </w:r>
      <w:r>
        <w:rPr>
          <w:rFonts w:hint="eastAsia" w:ascii="仿宋_GB2312" w:hAnsi="Calibri"/>
          <w:szCs w:val="32"/>
        </w:rPr>
        <w:t>提交申请材料—业务科室进行初审—</w:t>
      </w:r>
      <w:r>
        <w:rPr>
          <w:rFonts w:hint="eastAsia" w:ascii="仿宋_GB2312"/>
          <w:szCs w:val="32"/>
        </w:rPr>
        <w:t>盐田区工业和信息化局征求相关部门意见</w:t>
      </w:r>
      <w:r>
        <w:rPr>
          <w:rFonts w:hint="eastAsia" w:ascii="仿宋_GB2312" w:hAnsi="Calibri"/>
          <w:szCs w:val="32"/>
        </w:rPr>
        <w:t>—公示—发布公告。</w:t>
      </w:r>
    </w:p>
    <w:p>
      <w:pPr>
        <w:snapToGrid w:val="0"/>
        <w:spacing w:line="520" w:lineRule="exact"/>
        <w:ind w:firstLine="640"/>
        <w:rPr>
          <w:rFonts w:ascii="黑体" w:hAnsi="Calibri" w:eastAsia="黑体"/>
          <w:szCs w:val="32"/>
        </w:rPr>
      </w:pPr>
      <w:r>
        <w:rPr>
          <w:rFonts w:hint="eastAsia" w:ascii="黑体" w:hAnsi="Calibri" w:eastAsia="黑体"/>
          <w:szCs w:val="32"/>
        </w:rPr>
        <w:t>十、收费</w:t>
      </w:r>
    </w:p>
    <w:p>
      <w:pPr>
        <w:snapToGrid w:val="0"/>
        <w:spacing w:line="520" w:lineRule="exact"/>
        <w:ind w:firstLine="640"/>
        <w:rPr>
          <w:rFonts w:ascii="仿宋_GB2312" w:hAnsi="Calibri"/>
          <w:szCs w:val="32"/>
        </w:rPr>
      </w:pPr>
      <w:r>
        <w:rPr>
          <w:rFonts w:hint="eastAsia" w:ascii="仿宋_GB2312" w:hAnsi="Calibri"/>
          <w:szCs w:val="32"/>
        </w:rPr>
        <w:t>不收费。</w:t>
      </w:r>
    </w:p>
    <w:p>
      <w:pPr>
        <w:snapToGrid w:val="0"/>
        <w:spacing w:line="520" w:lineRule="exact"/>
        <w:ind w:firstLine="640"/>
        <w:rPr>
          <w:rFonts w:ascii="黑体" w:hAnsi="Calibri" w:eastAsia="黑体"/>
          <w:szCs w:val="32"/>
        </w:rPr>
      </w:pPr>
      <w:r>
        <w:rPr>
          <w:rFonts w:hint="eastAsia" w:ascii="黑体" w:hAnsi="Calibri" w:eastAsia="黑体"/>
          <w:szCs w:val="32"/>
        </w:rPr>
        <w:t>十一、资格复核</w:t>
      </w:r>
    </w:p>
    <w:p>
      <w:pPr>
        <w:snapToGrid w:val="0"/>
        <w:spacing w:line="520" w:lineRule="exact"/>
        <w:ind w:firstLine="640"/>
        <w:rPr>
          <w:rFonts w:ascii="仿宋_GB2312" w:hAnsi="Calibri"/>
          <w:szCs w:val="32"/>
        </w:rPr>
      </w:pPr>
      <w:r>
        <w:rPr>
          <w:rFonts w:hint="eastAsia" w:ascii="仿宋_GB2312" w:hAnsi="Calibri"/>
          <w:szCs w:val="32"/>
        </w:rPr>
        <w:t>1、按《办法》第六条第（一）（二）款认定的总部企业在承诺期满未兑现承诺的，总部企业资格自动失效，但可按第六条第（三）款重新申请认定。</w:t>
      </w:r>
    </w:p>
    <w:p>
      <w:pPr>
        <w:snapToGrid w:val="0"/>
        <w:spacing w:line="520" w:lineRule="exact"/>
        <w:ind w:firstLine="640"/>
        <w:rPr>
          <w:rFonts w:ascii="仿宋_GB2312" w:hAnsi="Calibri"/>
          <w:szCs w:val="32"/>
        </w:rPr>
      </w:pPr>
      <w:r>
        <w:rPr>
          <w:rFonts w:hint="eastAsia" w:ascii="仿宋_GB2312" w:hAnsi="Calibri"/>
          <w:szCs w:val="32"/>
        </w:rPr>
        <w:t>2、实施总部企业年度复查和动态调整机制，每年对总部企业经济指标进行一次复查，动态更新区总部企业名录。经复查连续两年不再符合条件的，取消其总部企业资格，两年内不得再申请认定。</w:t>
      </w:r>
    </w:p>
    <w:p>
      <w:pPr>
        <w:snapToGrid w:val="0"/>
        <w:spacing w:line="520" w:lineRule="exact"/>
        <w:ind w:firstLine="640"/>
        <w:rPr>
          <w:rFonts w:ascii="仿宋_GB2312" w:hAnsi="Calibri"/>
          <w:szCs w:val="32"/>
        </w:rPr>
      </w:pPr>
      <w:r>
        <w:rPr>
          <w:rFonts w:hint="eastAsia" w:ascii="仿宋_GB2312" w:hAnsi="Calibri"/>
          <w:szCs w:val="32"/>
        </w:rPr>
        <w:t>3、认定的总部企业发生“关闭、停办、合并、转产”等无法经营，或因重大违法违规行为受到行政或刑事处罚的，取消其总部企业资格。重新申请认定方式同第2条。</w:t>
      </w:r>
    </w:p>
    <w:p>
      <w:pPr>
        <w:snapToGrid w:val="0"/>
        <w:spacing w:line="520" w:lineRule="exact"/>
        <w:ind w:firstLine="640"/>
        <w:rPr>
          <w:rFonts w:ascii="黑体" w:hAnsi="黑体" w:eastAsia="黑体"/>
          <w:szCs w:val="32"/>
        </w:rPr>
      </w:pPr>
      <w:r>
        <w:rPr>
          <w:rFonts w:hint="eastAsia" w:ascii="黑体" w:hAnsi="黑体" w:eastAsia="黑体"/>
          <w:szCs w:val="32"/>
        </w:rPr>
        <w:t>十二、不予认定情况</w:t>
      </w:r>
    </w:p>
    <w:p>
      <w:pPr>
        <w:snapToGrid w:val="0"/>
        <w:spacing w:line="520" w:lineRule="exact"/>
        <w:ind w:firstLine="640"/>
        <w:rPr>
          <w:rFonts w:ascii="仿宋_GB2312" w:hAnsi="Calibri"/>
          <w:szCs w:val="32"/>
        </w:rPr>
      </w:pPr>
      <w:r>
        <w:rPr>
          <w:rFonts w:hint="eastAsia" w:ascii="仿宋_GB2312" w:hAnsi="Calibri"/>
          <w:szCs w:val="32"/>
        </w:rPr>
        <w:t>有下列情形之一的，申请将不予受理，企业将不得获得认定：</w:t>
      </w:r>
    </w:p>
    <w:p>
      <w:pPr>
        <w:snapToGrid w:val="0"/>
        <w:spacing w:line="560" w:lineRule="exact"/>
        <w:ind w:firstLine="640"/>
        <w:rPr>
          <w:rFonts w:hint="eastAsia" w:ascii="仿宋_GB2312" w:hAnsi="Calibri"/>
          <w:szCs w:val="32"/>
          <w:highlight w:val="none"/>
        </w:rPr>
      </w:pPr>
      <w:r>
        <w:rPr>
          <w:rFonts w:hint="eastAsia" w:ascii="仿宋_GB2312" w:hAnsi="Calibri"/>
          <w:szCs w:val="32"/>
          <w:highlight w:val="none"/>
        </w:rPr>
        <w:t>（一）申请资助时企业、机构、单位存在被列入国家黑名单、深圳黑名单、经营异常名录、失信被执行人信息未执行完毕或被列入严重违法失信信息的；</w:t>
      </w:r>
    </w:p>
    <w:p>
      <w:pPr>
        <w:snapToGrid w:val="0"/>
        <w:spacing w:line="560" w:lineRule="exact"/>
        <w:ind w:firstLine="640"/>
        <w:rPr>
          <w:rFonts w:hint="eastAsia" w:ascii="仿宋_GB2312" w:hAnsi="Calibri"/>
          <w:szCs w:val="32"/>
          <w:highlight w:val="none"/>
        </w:rPr>
      </w:pPr>
      <w:r>
        <w:rPr>
          <w:rFonts w:hint="eastAsia" w:ascii="仿宋_GB2312" w:hAnsi="Calibri"/>
          <w:szCs w:val="32"/>
          <w:highlight w:val="none"/>
        </w:rPr>
        <w:t>（二）申请之日前两年内企业、机构、单位存在被处以责令停产停业、暂扣或者吊销许可证、暂扣或者吊销执照行政处罚的；</w:t>
      </w:r>
    </w:p>
    <w:p>
      <w:pPr>
        <w:snapToGrid w:val="0"/>
        <w:spacing w:line="560" w:lineRule="exact"/>
        <w:ind w:firstLine="640"/>
        <w:rPr>
          <w:rFonts w:hint="eastAsia" w:ascii="仿宋_GB2312" w:hAnsi="Calibri"/>
          <w:szCs w:val="32"/>
          <w:highlight w:val="none"/>
        </w:rPr>
      </w:pPr>
      <w:r>
        <w:rPr>
          <w:rFonts w:hint="eastAsia" w:ascii="仿宋_GB2312" w:hAnsi="Calibri"/>
          <w:szCs w:val="32"/>
          <w:highlight w:val="none"/>
        </w:rPr>
        <w:t>（三）申请之日前两年内在盐田区发生一般及以上级别生产安全事故的；</w:t>
      </w:r>
    </w:p>
    <w:p>
      <w:pPr>
        <w:snapToGrid w:val="0"/>
        <w:spacing w:line="560" w:lineRule="exact"/>
        <w:ind w:firstLine="640"/>
        <w:rPr>
          <w:rFonts w:hint="eastAsia" w:ascii="仿宋_GB2312" w:hAnsi="Calibri"/>
          <w:szCs w:val="32"/>
          <w:highlight w:val="none"/>
        </w:rPr>
      </w:pPr>
      <w:r>
        <w:rPr>
          <w:rFonts w:hint="eastAsia" w:ascii="仿宋_GB2312" w:hAnsi="Calibri"/>
          <w:szCs w:val="32"/>
          <w:highlight w:val="none"/>
        </w:rPr>
        <w:t>（四）申请资助时个人存在被纳入失信被执行人名单的；</w:t>
      </w:r>
    </w:p>
    <w:p>
      <w:pPr>
        <w:snapToGrid w:val="0"/>
        <w:spacing w:line="560" w:lineRule="exact"/>
        <w:ind w:firstLine="640"/>
        <w:rPr>
          <w:rFonts w:hint="eastAsia" w:ascii="仿宋_GB2312" w:hAnsi="Calibri"/>
          <w:szCs w:val="32"/>
          <w:highlight w:val="none"/>
        </w:rPr>
      </w:pPr>
      <w:r>
        <w:rPr>
          <w:rFonts w:hint="eastAsia" w:ascii="仿宋_GB2312" w:hAnsi="Calibri"/>
          <w:szCs w:val="32"/>
          <w:highlight w:val="none"/>
        </w:rPr>
        <w:t>（五）区政府规定的其他不予受理的情形。</w:t>
      </w:r>
    </w:p>
    <w:p>
      <w:pPr>
        <w:snapToGrid w:val="0"/>
        <w:spacing w:line="560" w:lineRule="exact"/>
        <w:ind w:firstLine="640"/>
        <w:rPr>
          <w:rFonts w:ascii="黑体" w:hAnsi="Calibri" w:eastAsia="黑体"/>
          <w:szCs w:val="32"/>
        </w:rPr>
      </w:pPr>
      <w:r>
        <w:rPr>
          <w:rFonts w:hint="eastAsia" w:ascii="黑体" w:hAnsi="Calibri" w:eastAsia="黑体"/>
          <w:szCs w:val="32"/>
        </w:rPr>
        <w:t>十三、审核方式</w:t>
      </w:r>
    </w:p>
    <w:p>
      <w:pPr>
        <w:snapToGrid w:val="0"/>
        <w:spacing w:line="520" w:lineRule="exact"/>
        <w:ind w:firstLine="640"/>
        <w:rPr>
          <w:rFonts w:ascii="仿宋_GB2312" w:hAnsi="Calibri"/>
          <w:szCs w:val="32"/>
        </w:rPr>
      </w:pPr>
      <w:r>
        <w:rPr>
          <w:rFonts w:hint="eastAsia" w:ascii="仿宋_GB2312" w:hAnsi="Calibri"/>
          <w:szCs w:val="32"/>
        </w:rPr>
        <w:t>核准制。</w:t>
      </w:r>
    </w:p>
    <w:p>
      <w:pPr>
        <w:keepNext/>
        <w:keepLines/>
        <w:widowControl/>
        <w:spacing w:line="560" w:lineRule="exact"/>
        <w:ind w:firstLine="640" w:firstLineChars="200"/>
        <w:jc w:val="left"/>
        <w:outlineLvl w:val="1"/>
        <w:rPr>
          <w:rFonts w:ascii="Cambria" w:hAnsi="Cambria" w:eastAsia="黑体" w:cstheme="majorBidi"/>
          <w:bCs/>
          <w:kern w:val="0"/>
          <w:szCs w:val="32"/>
        </w:rPr>
      </w:pPr>
      <w:bookmarkStart w:id="1" w:name="_Toc13843555"/>
      <w:bookmarkStart w:id="2" w:name="_Toc13834541"/>
      <w:r>
        <w:rPr>
          <w:rFonts w:hint="eastAsia" w:ascii="Cambria" w:hAnsi="Cambria" w:eastAsia="黑体" w:cstheme="majorBidi"/>
          <w:bCs/>
          <w:kern w:val="0"/>
          <w:szCs w:val="32"/>
        </w:rPr>
        <w:t>十四、有关注意事项</w:t>
      </w:r>
      <w:bookmarkEnd w:id="1"/>
      <w:bookmarkEnd w:id="2"/>
    </w:p>
    <w:p>
      <w:pPr>
        <w:pStyle w:val="4"/>
        <w:ind w:firstLine="640"/>
      </w:pPr>
      <w:bookmarkStart w:id="3" w:name="_Toc13834542"/>
      <w:bookmarkStart w:id="4" w:name="_Toc13843556"/>
      <w:r>
        <w:rPr>
          <w:rFonts w:hint="eastAsia"/>
        </w:rPr>
        <w:t>（一）申请时间</w:t>
      </w:r>
    </w:p>
    <w:p>
      <w:pPr>
        <w:keepNext/>
        <w:keepLines/>
        <w:widowControl/>
        <w:spacing w:line="560" w:lineRule="exact"/>
        <w:ind w:firstLine="640" w:firstLineChars="200"/>
        <w:jc w:val="left"/>
        <w:outlineLvl w:val="2"/>
        <w:rPr>
          <w:rFonts w:ascii="Calibri" w:hAnsi="Calibri" w:eastAsia="楷体_GB2312" w:cs="宋体"/>
          <w:bCs/>
          <w:szCs w:val="32"/>
        </w:rPr>
      </w:pPr>
      <w:r>
        <w:rPr>
          <w:rFonts w:hint="eastAsia" w:ascii="仿宋_GB2312"/>
          <w:szCs w:val="32"/>
        </w:rPr>
        <w:t>新设立或新迁入盐田的企业，须在新设立或新迁入当年度提出认定申请。</w:t>
      </w:r>
    </w:p>
    <w:p>
      <w:pPr>
        <w:pStyle w:val="4"/>
        <w:ind w:firstLine="640"/>
      </w:pPr>
      <w:r>
        <w:rPr>
          <w:rFonts w:hint="eastAsia"/>
        </w:rPr>
        <w:t>（二）企业经济指标统计时间</w:t>
      </w:r>
      <w:bookmarkEnd w:id="3"/>
      <w:bookmarkEnd w:id="4"/>
    </w:p>
    <w:p>
      <w:pPr>
        <w:widowControl/>
        <w:spacing w:line="560" w:lineRule="exact"/>
        <w:ind w:firstLine="640" w:firstLineChars="200"/>
        <w:jc w:val="left"/>
        <w:rPr>
          <w:rFonts w:ascii="宋体" w:hAnsi="宋体" w:cs="宋体"/>
          <w:kern w:val="0"/>
          <w:szCs w:val="24"/>
        </w:rPr>
      </w:pPr>
      <w:r>
        <w:rPr>
          <w:rFonts w:hint="eastAsia" w:ascii="宋体" w:hAnsi="宋体" w:cs="宋体"/>
          <w:kern w:val="0"/>
          <w:szCs w:val="24"/>
        </w:rPr>
        <w:t>1、申请</w:t>
      </w:r>
      <w:r>
        <w:rPr>
          <w:rFonts w:ascii="宋体" w:hAnsi="宋体" w:cs="宋体"/>
          <w:color w:val="auto"/>
          <w:kern w:val="0"/>
          <w:szCs w:val="24"/>
        </w:rPr>
        <w:t>20</w:t>
      </w:r>
      <w:r>
        <w:rPr>
          <w:rFonts w:hint="eastAsia" w:ascii="宋体" w:hAnsi="宋体" w:cs="宋体"/>
          <w:color w:val="auto"/>
          <w:kern w:val="0"/>
          <w:szCs w:val="24"/>
          <w:lang w:val="en-US" w:eastAsia="zh-CN"/>
        </w:rPr>
        <w:t>22</w:t>
      </w:r>
      <w:r>
        <w:rPr>
          <w:rFonts w:ascii="宋体" w:hAnsi="宋体" w:cs="宋体"/>
          <w:color w:val="auto"/>
          <w:kern w:val="0"/>
          <w:szCs w:val="24"/>
        </w:rPr>
        <w:t>年度总部企业认定的，各项经济数据以20</w:t>
      </w:r>
      <w:r>
        <w:rPr>
          <w:rFonts w:hint="eastAsia" w:ascii="宋体" w:hAnsi="宋体" w:cs="宋体"/>
          <w:color w:val="auto"/>
          <w:kern w:val="0"/>
          <w:szCs w:val="24"/>
          <w:lang w:val="en-US" w:eastAsia="zh-CN"/>
        </w:rPr>
        <w:t>21</w:t>
      </w:r>
      <w:r>
        <w:rPr>
          <w:rFonts w:ascii="宋体" w:hAnsi="宋体" w:cs="宋体"/>
          <w:kern w:val="0"/>
          <w:szCs w:val="24"/>
        </w:rPr>
        <w:t>年1月1日至12月31日报表数额为准。</w:t>
      </w:r>
    </w:p>
    <w:p>
      <w:pPr>
        <w:widowControl/>
        <w:spacing w:line="560" w:lineRule="exact"/>
        <w:ind w:firstLine="640" w:firstLineChars="200"/>
        <w:jc w:val="left"/>
        <w:rPr>
          <w:rFonts w:ascii="仿宋_GB2312"/>
          <w:color w:val="auto"/>
          <w:szCs w:val="32"/>
          <w:highlight w:val="none"/>
        </w:rPr>
      </w:pPr>
      <w:r>
        <w:rPr>
          <w:rFonts w:hint="eastAsia" w:ascii="宋体" w:hAnsi="宋体" w:cs="宋体"/>
          <w:kern w:val="0"/>
          <w:szCs w:val="24"/>
        </w:rPr>
        <w:t>2、</w:t>
      </w:r>
      <w:r>
        <w:rPr>
          <w:rFonts w:hint="eastAsia" w:ascii="宋体" w:hAnsi="宋体" w:cs="宋体"/>
          <w:color w:val="auto"/>
          <w:kern w:val="0"/>
          <w:szCs w:val="24"/>
          <w:highlight w:val="none"/>
        </w:rPr>
        <w:t>申请</w:t>
      </w:r>
      <w:r>
        <w:rPr>
          <w:rFonts w:ascii="宋体" w:hAnsi="宋体" w:cs="宋体"/>
          <w:color w:val="auto"/>
          <w:kern w:val="0"/>
          <w:szCs w:val="24"/>
          <w:highlight w:val="none"/>
        </w:rPr>
        <w:t>20</w:t>
      </w:r>
      <w:r>
        <w:rPr>
          <w:rFonts w:hint="eastAsia" w:ascii="宋体" w:hAnsi="宋体" w:cs="宋体"/>
          <w:color w:val="auto"/>
          <w:kern w:val="0"/>
          <w:szCs w:val="24"/>
          <w:highlight w:val="none"/>
          <w:lang w:val="en-US" w:eastAsia="zh-CN"/>
        </w:rPr>
        <w:t>22</w:t>
      </w:r>
      <w:r>
        <w:rPr>
          <w:rFonts w:ascii="宋体" w:hAnsi="宋体" w:cs="宋体"/>
          <w:color w:val="auto"/>
          <w:kern w:val="0"/>
          <w:szCs w:val="24"/>
          <w:highlight w:val="none"/>
        </w:rPr>
        <w:t>年度总部企业认定的，</w:t>
      </w:r>
      <w:r>
        <w:rPr>
          <w:rFonts w:hint="eastAsia" w:ascii="宋体" w:hAnsi="宋体" w:cs="宋体"/>
          <w:color w:val="auto"/>
          <w:kern w:val="0"/>
          <w:szCs w:val="24"/>
          <w:highlight w:val="none"/>
        </w:rPr>
        <w:t>承诺认定次年形成的区级财政贡献，是指20</w:t>
      </w:r>
      <w:r>
        <w:rPr>
          <w:rFonts w:hint="eastAsia" w:ascii="宋体" w:hAnsi="宋体" w:cs="宋体"/>
          <w:color w:val="auto"/>
          <w:kern w:val="0"/>
          <w:szCs w:val="24"/>
          <w:highlight w:val="none"/>
          <w:lang w:val="en-US" w:eastAsia="zh-CN"/>
        </w:rPr>
        <w:t>23</w:t>
      </w:r>
      <w:r>
        <w:rPr>
          <w:rFonts w:hint="eastAsia" w:ascii="宋体" w:hAnsi="宋体" w:cs="宋体"/>
          <w:color w:val="auto"/>
          <w:kern w:val="0"/>
          <w:szCs w:val="24"/>
          <w:highlight w:val="none"/>
        </w:rPr>
        <w:t>年1月1日至12月31日的区级财政贡献。</w:t>
      </w:r>
    </w:p>
    <w:p>
      <w:pPr>
        <w:keepNext/>
        <w:keepLines/>
        <w:widowControl/>
        <w:spacing w:line="560" w:lineRule="exact"/>
        <w:ind w:firstLine="640" w:firstLineChars="200"/>
        <w:jc w:val="left"/>
        <w:outlineLvl w:val="2"/>
        <w:rPr>
          <w:rFonts w:ascii="Calibri" w:hAnsi="Calibri" w:eastAsia="楷体_GB2312" w:cs="宋体"/>
          <w:bCs/>
          <w:szCs w:val="32"/>
        </w:rPr>
      </w:pPr>
      <w:bookmarkStart w:id="5" w:name="_Toc13834543"/>
      <w:bookmarkStart w:id="6" w:name="_Toc13843557"/>
      <w:r>
        <w:rPr>
          <w:rFonts w:hint="eastAsia" w:ascii="Calibri" w:hAnsi="Calibri" w:eastAsia="楷体_GB2312" w:cs="宋体"/>
          <w:bCs/>
          <w:szCs w:val="32"/>
        </w:rPr>
        <w:t>（</w:t>
      </w:r>
      <w:r>
        <w:rPr>
          <w:rFonts w:hint="eastAsia" w:ascii="Calibri" w:hAnsi="Calibri" w:eastAsia="楷体_GB2312" w:cs="宋体"/>
          <w:bCs/>
          <w:szCs w:val="32"/>
          <w:lang w:eastAsia="zh-CN"/>
        </w:rPr>
        <w:t>三</w:t>
      </w:r>
      <w:r>
        <w:rPr>
          <w:rFonts w:hint="eastAsia" w:ascii="Calibri" w:hAnsi="Calibri" w:eastAsia="楷体_GB2312" w:cs="宋体"/>
          <w:bCs/>
          <w:szCs w:val="32"/>
        </w:rPr>
        <w:t>）企业经济指标统计口径</w:t>
      </w:r>
      <w:bookmarkEnd w:id="5"/>
      <w:bookmarkEnd w:id="6"/>
    </w:p>
    <w:p>
      <w:pPr>
        <w:widowControl/>
        <w:spacing w:line="560" w:lineRule="exact"/>
        <w:ind w:firstLine="640" w:firstLineChars="200"/>
        <w:jc w:val="left"/>
        <w:rPr>
          <w:rFonts w:ascii="宋体" w:hAnsi="宋体" w:cs="宋体"/>
          <w:kern w:val="0"/>
          <w:szCs w:val="24"/>
        </w:rPr>
      </w:pPr>
      <w:r>
        <w:rPr>
          <w:rFonts w:ascii="宋体" w:hAnsi="宋体" w:cs="宋体"/>
          <w:kern w:val="0"/>
          <w:szCs w:val="24"/>
        </w:rPr>
        <w:t>1、总部企业所形成区</w:t>
      </w:r>
      <w:r>
        <w:rPr>
          <w:rFonts w:hint="eastAsia" w:ascii="宋体" w:hAnsi="宋体" w:cs="宋体"/>
          <w:kern w:val="0"/>
          <w:szCs w:val="24"/>
        </w:rPr>
        <w:t>级财政贡献以</w:t>
      </w:r>
      <w:r>
        <w:rPr>
          <w:rFonts w:hint="eastAsia" w:ascii="仿宋_GB2312" w:cs="仿宋_GB2312"/>
          <w:szCs w:val="32"/>
        </w:rPr>
        <w:t>申报企业独立法人（含分支机构）及其控股</w:t>
      </w:r>
      <w:r>
        <w:rPr>
          <w:rFonts w:ascii="仿宋_GB2312" w:cs="仿宋_GB2312"/>
          <w:szCs w:val="32"/>
        </w:rPr>
        <w:t>50%</w:t>
      </w:r>
      <w:r>
        <w:rPr>
          <w:rFonts w:hint="eastAsia" w:ascii="仿宋_GB2312" w:cs="仿宋_GB2312"/>
          <w:szCs w:val="32"/>
        </w:rPr>
        <w:t>（含）以上在本区注册的一级、二级子公司作为统计核算口径，各年度股权关系以当年</w:t>
      </w:r>
      <w:r>
        <w:rPr>
          <w:rFonts w:ascii="仿宋_GB2312" w:cs="仿宋_GB2312"/>
          <w:szCs w:val="32"/>
        </w:rPr>
        <w:t>12</w:t>
      </w:r>
      <w:r>
        <w:rPr>
          <w:rFonts w:hint="eastAsia" w:ascii="仿宋_GB2312" w:cs="仿宋_GB2312"/>
          <w:szCs w:val="32"/>
        </w:rPr>
        <w:t>月</w:t>
      </w:r>
      <w:r>
        <w:rPr>
          <w:rFonts w:ascii="仿宋_GB2312" w:cs="仿宋_GB2312"/>
          <w:szCs w:val="32"/>
        </w:rPr>
        <w:t>31</w:t>
      </w:r>
      <w:r>
        <w:rPr>
          <w:rFonts w:hint="eastAsia" w:ascii="仿宋_GB2312" w:cs="仿宋_GB2312"/>
          <w:szCs w:val="32"/>
        </w:rPr>
        <w:t>日股权登记状况为准</w:t>
      </w:r>
      <w:r>
        <w:rPr>
          <w:rFonts w:ascii="宋体" w:hAnsi="宋体" w:cs="宋体"/>
          <w:kern w:val="0"/>
          <w:szCs w:val="24"/>
        </w:rPr>
        <w:t>（需提供隶属关系证明）</w:t>
      </w:r>
      <w:r>
        <w:rPr>
          <w:rFonts w:hint="eastAsia" w:ascii="仿宋_GB2312" w:cs="仿宋_GB2312"/>
          <w:szCs w:val="32"/>
        </w:rPr>
        <w:t>。经区政府研究同意的其他情况除外。</w:t>
      </w:r>
    </w:p>
    <w:p>
      <w:pPr>
        <w:widowControl/>
        <w:spacing w:line="560" w:lineRule="exact"/>
        <w:ind w:firstLine="640" w:firstLineChars="200"/>
        <w:jc w:val="left"/>
        <w:rPr>
          <w:rFonts w:ascii="宋体" w:hAnsi="宋体" w:cs="宋体"/>
          <w:kern w:val="0"/>
          <w:szCs w:val="24"/>
        </w:rPr>
      </w:pPr>
      <w:r>
        <w:rPr>
          <w:rFonts w:hint="eastAsia" w:ascii="宋体" w:hAnsi="宋体" w:cs="宋体"/>
          <w:kern w:val="0"/>
          <w:szCs w:val="24"/>
        </w:rPr>
        <w:t>2、</w:t>
      </w:r>
      <w:r>
        <w:rPr>
          <w:rFonts w:ascii="宋体" w:hAnsi="宋体" w:cs="宋体"/>
          <w:kern w:val="0"/>
          <w:szCs w:val="24"/>
        </w:rPr>
        <w:t>盐田区计算的区</w:t>
      </w:r>
      <w:r>
        <w:rPr>
          <w:rFonts w:hint="eastAsia" w:ascii="宋体" w:hAnsi="宋体" w:cs="宋体"/>
          <w:kern w:val="0"/>
          <w:szCs w:val="24"/>
        </w:rPr>
        <w:t>级财政贡献</w:t>
      </w:r>
      <w:r>
        <w:rPr>
          <w:rFonts w:ascii="宋体" w:hAnsi="宋体" w:cs="宋体"/>
          <w:kern w:val="0"/>
          <w:szCs w:val="24"/>
        </w:rPr>
        <w:t>主要是</w:t>
      </w:r>
      <w:r>
        <w:rPr>
          <w:rFonts w:hint="eastAsia" w:ascii="宋体" w:hAnsi="宋体" w:cs="宋体"/>
          <w:kern w:val="0"/>
          <w:szCs w:val="24"/>
        </w:rPr>
        <w:t>指申报企业在本区缴纳的税款入库期内，增值税、企业所得税或其他税种等计入区级地方分成的部分。</w:t>
      </w:r>
      <w:r>
        <w:rPr>
          <w:rFonts w:ascii="宋体" w:hAnsi="宋体" w:cs="宋体"/>
          <w:kern w:val="0"/>
          <w:szCs w:val="24"/>
        </w:rPr>
        <w:t>最终结果以</w:t>
      </w:r>
      <w:r>
        <w:rPr>
          <w:rFonts w:hint="eastAsia" w:ascii="宋体" w:hAnsi="宋体" w:cs="宋体"/>
          <w:kern w:val="0"/>
          <w:szCs w:val="24"/>
        </w:rPr>
        <w:t>盐田区财政局</w:t>
      </w:r>
      <w:r>
        <w:rPr>
          <w:rFonts w:ascii="宋体" w:hAnsi="宋体" w:cs="宋体"/>
          <w:kern w:val="0"/>
          <w:szCs w:val="24"/>
        </w:rPr>
        <w:t>正式核算为准。</w:t>
      </w:r>
    </w:p>
    <w:p>
      <w:pPr>
        <w:pStyle w:val="28"/>
        <w:spacing w:line="560" w:lineRule="atLeast"/>
        <w:ind w:firstLine="640" w:firstLineChars="200"/>
        <w:jc w:val="both"/>
        <w:rPr>
          <w:rFonts w:ascii="仿宋_GB2312" w:eastAsia="仿宋_GB2312" w:cs="仿宋_GB2312"/>
          <w:color w:val="auto"/>
          <w:sz w:val="32"/>
          <w:szCs w:val="32"/>
        </w:rPr>
      </w:pPr>
      <w:r>
        <w:rPr>
          <w:rFonts w:hint="eastAsia" w:ascii="仿宋_GB2312" w:hAnsi="宋体" w:eastAsia="仿宋_GB2312"/>
          <w:color w:val="auto"/>
          <w:sz w:val="32"/>
          <w:szCs w:val="32"/>
        </w:rPr>
        <w:t>3、</w:t>
      </w:r>
      <w:r>
        <w:rPr>
          <w:rFonts w:hint="eastAsia" w:ascii="仿宋_GB2312" w:eastAsia="仿宋_GB2312" w:cs="仿宋_GB2312"/>
          <w:color w:val="auto"/>
          <w:sz w:val="32"/>
          <w:szCs w:val="32"/>
        </w:rPr>
        <w:t>申报企业的下属公司独立提出申请享受总部企业支持政策的，其下属公司在本区形成区级财政贡献不再重复计入作为上级公司的申报企业。</w:t>
      </w:r>
    </w:p>
    <w:p>
      <w:pPr>
        <w:pStyle w:val="28"/>
        <w:spacing w:line="560" w:lineRule="atLeast"/>
        <w:ind w:firstLine="640" w:firstLineChars="200"/>
        <w:jc w:val="both"/>
        <w:rPr>
          <w:rFonts w:ascii="楷体_GB2312" w:eastAsia="楷体_GB2312" w:cs="仿宋_GB2312"/>
          <w:color w:val="auto"/>
          <w:sz w:val="32"/>
          <w:szCs w:val="32"/>
        </w:rPr>
      </w:pPr>
      <w:r>
        <w:rPr>
          <w:rFonts w:hint="eastAsia" w:ascii="楷体_GB2312" w:eastAsia="楷体_GB2312" w:cs="仿宋_GB2312"/>
          <w:color w:val="auto"/>
          <w:sz w:val="32"/>
          <w:szCs w:val="32"/>
        </w:rPr>
        <w:t>（</w:t>
      </w:r>
      <w:r>
        <w:rPr>
          <w:rFonts w:hint="eastAsia" w:ascii="楷体_GB2312" w:eastAsia="楷体_GB2312" w:cs="仿宋_GB2312"/>
          <w:color w:val="auto"/>
          <w:sz w:val="32"/>
          <w:szCs w:val="32"/>
          <w:lang w:eastAsia="zh-CN"/>
        </w:rPr>
        <w:t>四</w:t>
      </w:r>
      <w:r>
        <w:rPr>
          <w:rFonts w:hint="eastAsia" w:ascii="楷体_GB2312" w:eastAsia="楷体_GB2312" w:cs="仿宋_GB2312"/>
          <w:color w:val="auto"/>
          <w:sz w:val="32"/>
          <w:szCs w:val="32"/>
        </w:rPr>
        <w:t>）履行相关承诺</w:t>
      </w:r>
    </w:p>
    <w:p>
      <w:pPr>
        <w:pStyle w:val="28"/>
        <w:keepNext w:val="0"/>
        <w:keepLines w:val="0"/>
        <w:pageBreakBefore w:val="0"/>
        <w:widowControl w:val="0"/>
        <w:kinsoku/>
        <w:wordWrap/>
        <w:overflowPunct/>
        <w:topLinePunct w:val="0"/>
        <w:autoSpaceDE w:val="0"/>
        <w:autoSpaceDN w:val="0"/>
        <w:bidi w:val="0"/>
        <w:adjustRightInd w:val="0"/>
        <w:snapToGrid/>
        <w:spacing w:line="560" w:lineRule="atLeas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经认定的总部企业，应承诺自认定之日起在区经营期不少于5年，5年内不得减少注册资本，并全面履行有关承诺和协议。违反承诺和协议的，取消其总部企业资格，其享受的有关优惠政策相应终止并将其失信行为纳入企业信用信息。</w:t>
      </w:r>
    </w:p>
    <w:p>
      <w:pPr>
        <w:pStyle w:val="28"/>
        <w:spacing w:line="560" w:lineRule="atLeast"/>
        <w:ind w:firstLine="640" w:firstLineChars="200"/>
        <w:jc w:val="both"/>
        <w:rPr>
          <w:rFonts w:hint="eastAsia" w:ascii="仿宋_GB2312" w:eastAsia="仿宋_GB2312" w:cs="仿宋_GB2312"/>
          <w:color w:val="auto"/>
          <w:sz w:val="32"/>
          <w:szCs w:val="32"/>
        </w:rPr>
      </w:pPr>
      <w:r>
        <w:rPr>
          <w:rFonts w:hint="eastAsia" w:ascii="仿宋_GB2312" w:eastAsia="仿宋_GB2312" w:cs="仿宋_GB2312"/>
          <w:color w:val="auto"/>
          <w:sz w:val="32"/>
          <w:szCs w:val="32"/>
        </w:rPr>
        <w:t>备注：因《盐田区支持总部企业发展实施办法》（盐田区人民政府，深盐府规〔2019〕5号）将于2022年12月31日到期，到期后按届时最新政策执行。</w:t>
      </w:r>
    </w:p>
    <w:p>
      <w:pPr>
        <w:widowControl/>
        <w:jc w:val="left"/>
        <w:rPr>
          <w:rFonts w:ascii="仿宋_GB2312" w:eastAsia="仿宋_GB2312" w:cs="仿宋_GB2312"/>
          <w:color w:val="auto"/>
          <w:sz w:val="32"/>
          <w:szCs w:val="32"/>
        </w:rPr>
      </w:pPr>
    </w:p>
    <w:p>
      <w:pPr>
        <w:snapToGrid w:val="0"/>
        <w:spacing w:line="520" w:lineRule="exact"/>
        <w:ind w:firstLine="640" w:firstLineChars="200"/>
        <w:rPr>
          <w:rFonts w:hint="eastAsia"/>
        </w:rPr>
      </w:pPr>
      <w:r>
        <w:rPr>
          <w:rFonts w:hint="eastAsia" w:ascii="仿宋_GB2312" w:hAnsi="Calibri"/>
          <w:szCs w:val="32"/>
        </w:rPr>
        <w:t>说明：区政府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w:t>
      </w:r>
      <w:r>
        <w:rPr>
          <w:rFonts w:hint="eastAsia"/>
        </w:rPr>
        <w:t>的，请知情者即向盐田区工业和信息化局举报。</w:t>
      </w:r>
    </w:p>
    <w:p>
      <w:pPr>
        <w:widowControl/>
        <w:jc w:val="left"/>
        <w:rPr>
          <w:rFonts w:ascii="仿宋_GB2312" w:eastAsia="仿宋_GB2312" w:cs="仿宋_GB2312"/>
          <w:color w:val="auto"/>
          <w:sz w:val="32"/>
          <w:szCs w:val="32"/>
        </w:rPr>
      </w:pPr>
    </w:p>
    <w:sectPr>
      <w:footerReference r:id="rId3" w:type="default"/>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2000000" w:usb3="00000000" w:csb0="2000019F" w:csb1="00000000"/>
  </w:font>
  <w:font w:name="楷体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459628"/>
      <w:docPartObj>
        <w:docPartGallery w:val="autotext"/>
      </w:docPartObj>
    </w:sdtPr>
    <w:sdtContent>
      <w:p>
        <w:pPr>
          <w:pStyle w:val="8"/>
          <w:jc w:val="center"/>
        </w:pPr>
        <w:r>
          <w:fldChar w:fldCharType="begin"/>
        </w:r>
        <w:r>
          <w:instrText xml:space="preserve"> PAGE   \* MERGEFORMAT </w:instrText>
        </w:r>
        <w:r>
          <w:fldChar w:fldCharType="separate"/>
        </w:r>
        <w:r>
          <w:rPr>
            <w:lang w:val="zh-CN"/>
          </w:rPr>
          <w:t>24</w:t>
        </w:r>
        <w:r>
          <w:rPr>
            <w:lang w:val="zh-CN"/>
          </w:rP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true"/>
  <w:bordersDoNotSurroundFooter w:val="true"/>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M1YjZiNjY4ODgxY2EyNDgzZjc3NTM0ODNlMjQ4YmUifQ=="/>
  </w:docVars>
  <w:rsids>
    <w:rsidRoot w:val="00BD0174"/>
    <w:rsid w:val="000013AA"/>
    <w:rsid w:val="000021E4"/>
    <w:rsid w:val="00012D7A"/>
    <w:rsid w:val="00035CF3"/>
    <w:rsid w:val="00043480"/>
    <w:rsid w:val="000438B5"/>
    <w:rsid w:val="000504E6"/>
    <w:rsid w:val="0005146C"/>
    <w:rsid w:val="00052F89"/>
    <w:rsid w:val="00061519"/>
    <w:rsid w:val="00071CBF"/>
    <w:rsid w:val="00073A78"/>
    <w:rsid w:val="0007488E"/>
    <w:rsid w:val="00085510"/>
    <w:rsid w:val="00086AD3"/>
    <w:rsid w:val="000B1699"/>
    <w:rsid w:val="000B25A3"/>
    <w:rsid w:val="000B439C"/>
    <w:rsid w:val="000C1638"/>
    <w:rsid w:val="000C7876"/>
    <w:rsid w:val="000E2A1D"/>
    <w:rsid w:val="000E559B"/>
    <w:rsid w:val="000E6A8B"/>
    <w:rsid w:val="000E7541"/>
    <w:rsid w:val="000F1FC8"/>
    <w:rsid w:val="000F6207"/>
    <w:rsid w:val="00102A69"/>
    <w:rsid w:val="00110439"/>
    <w:rsid w:val="001143C4"/>
    <w:rsid w:val="00130FCC"/>
    <w:rsid w:val="00131217"/>
    <w:rsid w:val="00132A56"/>
    <w:rsid w:val="00140D71"/>
    <w:rsid w:val="001416C5"/>
    <w:rsid w:val="00145EA1"/>
    <w:rsid w:val="00147810"/>
    <w:rsid w:val="00166D7F"/>
    <w:rsid w:val="0017604A"/>
    <w:rsid w:val="00193AFE"/>
    <w:rsid w:val="001C6550"/>
    <w:rsid w:val="001E2F17"/>
    <w:rsid w:val="001E3CD3"/>
    <w:rsid w:val="001E4C76"/>
    <w:rsid w:val="001E4E55"/>
    <w:rsid w:val="001E6EB1"/>
    <w:rsid w:val="001E7C0C"/>
    <w:rsid w:val="001F11B4"/>
    <w:rsid w:val="001F1DE3"/>
    <w:rsid w:val="001F35FD"/>
    <w:rsid w:val="001F51BD"/>
    <w:rsid w:val="00210A4F"/>
    <w:rsid w:val="002145AD"/>
    <w:rsid w:val="00225F83"/>
    <w:rsid w:val="00227682"/>
    <w:rsid w:val="00232CA9"/>
    <w:rsid w:val="00242A2C"/>
    <w:rsid w:val="00242A40"/>
    <w:rsid w:val="0024364E"/>
    <w:rsid w:val="00245E05"/>
    <w:rsid w:val="00262E3A"/>
    <w:rsid w:val="00281A8E"/>
    <w:rsid w:val="002908B9"/>
    <w:rsid w:val="002939D7"/>
    <w:rsid w:val="002A793D"/>
    <w:rsid w:val="002B14DB"/>
    <w:rsid w:val="002B3BC3"/>
    <w:rsid w:val="002B44CE"/>
    <w:rsid w:val="002B5F2D"/>
    <w:rsid w:val="002C2653"/>
    <w:rsid w:val="002C565C"/>
    <w:rsid w:val="002D2036"/>
    <w:rsid w:val="002D35FA"/>
    <w:rsid w:val="002D3E1C"/>
    <w:rsid w:val="002E246B"/>
    <w:rsid w:val="002E5816"/>
    <w:rsid w:val="002F2B16"/>
    <w:rsid w:val="002F6A9D"/>
    <w:rsid w:val="00302139"/>
    <w:rsid w:val="00302995"/>
    <w:rsid w:val="0031372D"/>
    <w:rsid w:val="00315376"/>
    <w:rsid w:val="003203CD"/>
    <w:rsid w:val="00327840"/>
    <w:rsid w:val="00345C91"/>
    <w:rsid w:val="00353251"/>
    <w:rsid w:val="00354972"/>
    <w:rsid w:val="00375A75"/>
    <w:rsid w:val="00387FA1"/>
    <w:rsid w:val="00393BA3"/>
    <w:rsid w:val="003B1E58"/>
    <w:rsid w:val="003C188F"/>
    <w:rsid w:val="003D0E83"/>
    <w:rsid w:val="003D57FC"/>
    <w:rsid w:val="003E13FD"/>
    <w:rsid w:val="003E622F"/>
    <w:rsid w:val="003F26E0"/>
    <w:rsid w:val="003F3365"/>
    <w:rsid w:val="003F33F7"/>
    <w:rsid w:val="003F6454"/>
    <w:rsid w:val="00400930"/>
    <w:rsid w:val="0040569E"/>
    <w:rsid w:val="00406C45"/>
    <w:rsid w:val="004116C9"/>
    <w:rsid w:val="00412797"/>
    <w:rsid w:val="00414EB2"/>
    <w:rsid w:val="004375BE"/>
    <w:rsid w:val="00452BB2"/>
    <w:rsid w:val="00473FD2"/>
    <w:rsid w:val="00485D12"/>
    <w:rsid w:val="00486324"/>
    <w:rsid w:val="004B170A"/>
    <w:rsid w:val="004B7767"/>
    <w:rsid w:val="004C0501"/>
    <w:rsid w:val="004C6633"/>
    <w:rsid w:val="004D00E8"/>
    <w:rsid w:val="004E21E5"/>
    <w:rsid w:val="004F56C4"/>
    <w:rsid w:val="004F707A"/>
    <w:rsid w:val="00500203"/>
    <w:rsid w:val="005033D8"/>
    <w:rsid w:val="00512188"/>
    <w:rsid w:val="00523A68"/>
    <w:rsid w:val="00557F93"/>
    <w:rsid w:val="005611C7"/>
    <w:rsid w:val="005A67C1"/>
    <w:rsid w:val="005B37AE"/>
    <w:rsid w:val="005B56EF"/>
    <w:rsid w:val="005B638B"/>
    <w:rsid w:val="005B6EEA"/>
    <w:rsid w:val="005C0A97"/>
    <w:rsid w:val="005C243C"/>
    <w:rsid w:val="005D0A16"/>
    <w:rsid w:val="005D468E"/>
    <w:rsid w:val="005E2ECB"/>
    <w:rsid w:val="005F31DD"/>
    <w:rsid w:val="005F6CF7"/>
    <w:rsid w:val="00610F5A"/>
    <w:rsid w:val="006174D5"/>
    <w:rsid w:val="00625747"/>
    <w:rsid w:val="006336DD"/>
    <w:rsid w:val="006628FA"/>
    <w:rsid w:val="00675B6A"/>
    <w:rsid w:val="00682A08"/>
    <w:rsid w:val="006965E1"/>
    <w:rsid w:val="0069729F"/>
    <w:rsid w:val="006A1F9C"/>
    <w:rsid w:val="006D092F"/>
    <w:rsid w:val="006D1960"/>
    <w:rsid w:val="006E04C2"/>
    <w:rsid w:val="006F3504"/>
    <w:rsid w:val="006F5044"/>
    <w:rsid w:val="006F6A5B"/>
    <w:rsid w:val="006F79ED"/>
    <w:rsid w:val="00701F72"/>
    <w:rsid w:val="007026FD"/>
    <w:rsid w:val="0071777A"/>
    <w:rsid w:val="00723377"/>
    <w:rsid w:val="00732F43"/>
    <w:rsid w:val="00737F5D"/>
    <w:rsid w:val="00747167"/>
    <w:rsid w:val="0075270E"/>
    <w:rsid w:val="00753D98"/>
    <w:rsid w:val="007620C9"/>
    <w:rsid w:val="0076302F"/>
    <w:rsid w:val="00771B1D"/>
    <w:rsid w:val="0077510B"/>
    <w:rsid w:val="0079136C"/>
    <w:rsid w:val="007B0CC6"/>
    <w:rsid w:val="007B46EF"/>
    <w:rsid w:val="007B6A90"/>
    <w:rsid w:val="007E0015"/>
    <w:rsid w:val="008038E7"/>
    <w:rsid w:val="0081568D"/>
    <w:rsid w:val="00816AEB"/>
    <w:rsid w:val="008178D2"/>
    <w:rsid w:val="00822EAE"/>
    <w:rsid w:val="0085383B"/>
    <w:rsid w:val="0087690A"/>
    <w:rsid w:val="00880993"/>
    <w:rsid w:val="00881A67"/>
    <w:rsid w:val="00887808"/>
    <w:rsid w:val="00892036"/>
    <w:rsid w:val="008B26D5"/>
    <w:rsid w:val="008B2DEC"/>
    <w:rsid w:val="008B34E0"/>
    <w:rsid w:val="008B694D"/>
    <w:rsid w:val="008D14D2"/>
    <w:rsid w:val="008D4C67"/>
    <w:rsid w:val="008F25FF"/>
    <w:rsid w:val="008F47B8"/>
    <w:rsid w:val="00901E6D"/>
    <w:rsid w:val="00914165"/>
    <w:rsid w:val="0091480D"/>
    <w:rsid w:val="00920062"/>
    <w:rsid w:val="0093690C"/>
    <w:rsid w:val="009403C0"/>
    <w:rsid w:val="00951A8D"/>
    <w:rsid w:val="009574F0"/>
    <w:rsid w:val="009603EE"/>
    <w:rsid w:val="0096252A"/>
    <w:rsid w:val="0098047A"/>
    <w:rsid w:val="0098495F"/>
    <w:rsid w:val="009911EC"/>
    <w:rsid w:val="00992034"/>
    <w:rsid w:val="00995A94"/>
    <w:rsid w:val="00997615"/>
    <w:rsid w:val="009A133E"/>
    <w:rsid w:val="009C282D"/>
    <w:rsid w:val="009C361E"/>
    <w:rsid w:val="009D3BFC"/>
    <w:rsid w:val="009D66BF"/>
    <w:rsid w:val="00A03056"/>
    <w:rsid w:val="00A60E08"/>
    <w:rsid w:val="00A71CC4"/>
    <w:rsid w:val="00A84CBE"/>
    <w:rsid w:val="00A90491"/>
    <w:rsid w:val="00A95EAF"/>
    <w:rsid w:val="00A97C48"/>
    <w:rsid w:val="00AA014D"/>
    <w:rsid w:val="00AA3060"/>
    <w:rsid w:val="00AA5C7C"/>
    <w:rsid w:val="00AB59F6"/>
    <w:rsid w:val="00AC7142"/>
    <w:rsid w:val="00AD3776"/>
    <w:rsid w:val="00AD4B78"/>
    <w:rsid w:val="00AD7AEF"/>
    <w:rsid w:val="00AE7C14"/>
    <w:rsid w:val="00AF0193"/>
    <w:rsid w:val="00AF67D4"/>
    <w:rsid w:val="00B010C8"/>
    <w:rsid w:val="00B032AC"/>
    <w:rsid w:val="00B11FFA"/>
    <w:rsid w:val="00B31BF8"/>
    <w:rsid w:val="00B417CE"/>
    <w:rsid w:val="00B43149"/>
    <w:rsid w:val="00B503DE"/>
    <w:rsid w:val="00B54963"/>
    <w:rsid w:val="00B62298"/>
    <w:rsid w:val="00B803FF"/>
    <w:rsid w:val="00B81D48"/>
    <w:rsid w:val="00B85683"/>
    <w:rsid w:val="00B8674A"/>
    <w:rsid w:val="00B94655"/>
    <w:rsid w:val="00BA4E88"/>
    <w:rsid w:val="00BB4DFB"/>
    <w:rsid w:val="00BC1E0A"/>
    <w:rsid w:val="00BC3DAF"/>
    <w:rsid w:val="00BC55F5"/>
    <w:rsid w:val="00BC62F2"/>
    <w:rsid w:val="00BD0174"/>
    <w:rsid w:val="00BD39D7"/>
    <w:rsid w:val="00BE17FE"/>
    <w:rsid w:val="00BF0574"/>
    <w:rsid w:val="00BF19B3"/>
    <w:rsid w:val="00C0697C"/>
    <w:rsid w:val="00C3008A"/>
    <w:rsid w:val="00C474CF"/>
    <w:rsid w:val="00C569C4"/>
    <w:rsid w:val="00C703FF"/>
    <w:rsid w:val="00C73642"/>
    <w:rsid w:val="00C74F40"/>
    <w:rsid w:val="00C8056F"/>
    <w:rsid w:val="00C87198"/>
    <w:rsid w:val="00C934F4"/>
    <w:rsid w:val="00CA0433"/>
    <w:rsid w:val="00CB535C"/>
    <w:rsid w:val="00CC3ADB"/>
    <w:rsid w:val="00CC3D40"/>
    <w:rsid w:val="00CD4333"/>
    <w:rsid w:val="00CD5B33"/>
    <w:rsid w:val="00CE26EB"/>
    <w:rsid w:val="00CE5C19"/>
    <w:rsid w:val="00CE76BC"/>
    <w:rsid w:val="00D0576F"/>
    <w:rsid w:val="00D06599"/>
    <w:rsid w:val="00D14CB6"/>
    <w:rsid w:val="00D170C9"/>
    <w:rsid w:val="00D23F9F"/>
    <w:rsid w:val="00D32FFD"/>
    <w:rsid w:val="00D40278"/>
    <w:rsid w:val="00D52121"/>
    <w:rsid w:val="00D66FEA"/>
    <w:rsid w:val="00D7321F"/>
    <w:rsid w:val="00D752FE"/>
    <w:rsid w:val="00D86EAD"/>
    <w:rsid w:val="00D94F43"/>
    <w:rsid w:val="00DA09EC"/>
    <w:rsid w:val="00DA5E9D"/>
    <w:rsid w:val="00DB1802"/>
    <w:rsid w:val="00DB2E4A"/>
    <w:rsid w:val="00DC1572"/>
    <w:rsid w:val="00DC1AD2"/>
    <w:rsid w:val="00DE3D53"/>
    <w:rsid w:val="00E060DC"/>
    <w:rsid w:val="00E14E64"/>
    <w:rsid w:val="00E23DBD"/>
    <w:rsid w:val="00E323E8"/>
    <w:rsid w:val="00E3633E"/>
    <w:rsid w:val="00E40E52"/>
    <w:rsid w:val="00E43865"/>
    <w:rsid w:val="00E573D5"/>
    <w:rsid w:val="00E6009B"/>
    <w:rsid w:val="00E60502"/>
    <w:rsid w:val="00E62A73"/>
    <w:rsid w:val="00E73520"/>
    <w:rsid w:val="00E751B9"/>
    <w:rsid w:val="00E83817"/>
    <w:rsid w:val="00E9476B"/>
    <w:rsid w:val="00EA1A57"/>
    <w:rsid w:val="00EA210D"/>
    <w:rsid w:val="00EC70F6"/>
    <w:rsid w:val="00EE260D"/>
    <w:rsid w:val="00EE3C40"/>
    <w:rsid w:val="00EF6182"/>
    <w:rsid w:val="00EF6277"/>
    <w:rsid w:val="00F02FCC"/>
    <w:rsid w:val="00F03036"/>
    <w:rsid w:val="00F11F19"/>
    <w:rsid w:val="00F229DD"/>
    <w:rsid w:val="00F4469F"/>
    <w:rsid w:val="00F62797"/>
    <w:rsid w:val="00F70F28"/>
    <w:rsid w:val="00F74831"/>
    <w:rsid w:val="00F75D57"/>
    <w:rsid w:val="00F831A8"/>
    <w:rsid w:val="00FA11C9"/>
    <w:rsid w:val="00FA7EFA"/>
    <w:rsid w:val="00FD0CE3"/>
    <w:rsid w:val="00FD31D3"/>
    <w:rsid w:val="00FF4896"/>
    <w:rsid w:val="09C2223B"/>
    <w:rsid w:val="0B9B591A"/>
    <w:rsid w:val="0C7222C0"/>
    <w:rsid w:val="0FD85FA1"/>
    <w:rsid w:val="12826CEC"/>
    <w:rsid w:val="1AF31372"/>
    <w:rsid w:val="1D9F8EBC"/>
    <w:rsid w:val="1DE91588"/>
    <w:rsid w:val="1E8D9FFB"/>
    <w:rsid w:val="2BA7EF50"/>
    <w:rsid w:val="2CF511D3"/>
    <w:rsid w:val="2DB159FD"/>
    <w:rsid w:val="333B4779"/>
    <w:rsid w:val="35F70174"/>
    <w:rsid w:val="37DBE8B7"/>
    <w:rsid w:val="386B3FC1"/>
    <w:rsid w:val="3A654204"/>
    <w:rsid w:val="3B7F22C3"/>
    <w:rsid w:val="3BCC4240"/>
    <w:rsid w:val="3CAE50A3"/>
    <w:rsid w:val="3D774E49"/>
    <w:rsid w:val="3DA541B8"/>
    <w:rsid w:val="3DEF5D28"/>
    <w:rsid w:val="3E370F6C"/>
    <w:rsid w:val="3EC62C3E"/>
    <w:rsid w:val="3FCB367A"/>
    <w:rsid w:val="3FD753D1"/>
    <w:rsid w:val="41FF4CC4"/>
    <w:rsid w:val="47F7DB86"/>
    <w:rsid w:val="47FC30D4"/>
    <w:rsid w:val="48896CC5"/>
    <w:rsid w:val="4B894789"/>
    <w:rsid w:val="4E4E5F9E"/>
    <w:rsid w:val="4F779DDF"/>
    <w:rsid w:val="4FFF2B14"/>
    <w:rsid w:val="508B21B3"/>
    <w:rsid w:val="51CD62BA"/>
    <w:rsid w:val="521A7EE5"/>
    <w:rsid w:val="52412956"/>
    <w:rsid w:val="526F76F2"/>
    <w:rsid w:val="549355DB"/>
    <w:rsid w:val="57668E61"/>
    <w:rsid w:val="578803BD"/>
    <w:rsid w:val="597B102D"/>
    <w:rsid w:val="59E60B12"/>
    <w:rsid w:val="5BEB71AA"/>
    <w:rsid w:val="5BEF5152"/>
    <w:rsid w:val="5FDF8F91"/>
    <w:rsid w:val="5FEF0D88"/>
    <w:rsid w:val="605327B6"/>
    <w:rsid w:val="628D757B"/>
    <w:rsid w:val="62E2333E"/>
    <w:rsid w:val="67EF06D0"/>
    <w:rsid w:val="67F7936A"/>
    <w:rsid w:val="6D5E9043"/>
    <w:rsid w:val="6DFDDC28"/>
    <w:rsid w:val="6E7FA9CB"/>
    <w:rsid w:val="6F6BC744"/>
    <w:rsid w:val="6FFDF6BA"/>
    <w:rsid w:val="70251375"/>
    <w:rsid w:val="71D05B54"/>
    <w:rsid w:val="721E1DAB"/>
    <w:rsid w:val="73CE34C4"/>
    <w:rsid w:val="73D79801"/>
    <w:rsid w:val="75DE5792"/>
    <w:rsid w:val="75F724B7"/>
    <w:rsid w:val="769A2AA2"/>
    <w:rsid w:val="76C7B75D"/>
    <w:rsid w:val="774D2D76"/>
    <w:rsid w:val="776B3262"/>
    <w:rsid w:val="779DB26E"/>
    <w:rsid w:val="77BF7DF5"/>
    <w:rsid w:val="77D3095F"/>
    <w:rsid w:val="784F9316"/>
    <w:rsid w:val="78F1BC21"/>
    <w:rsid w:val="79DFD2DC"/>
    <w:rsid w:val="7AD548B0"/>
    <w:rsid w:val="7AF5080C"/>
    <w:rsid w:val="7B5CE04D"/>
    <w:rsid w:val="7BFFC0DF"/>
    <w:rsid w:val="7C8A584D"/>
    <w:rsid w:val="7CBE8B05"/>
    <w:rsid w:val="7CF30B8D"/>
    <w:rsid w:val="7DFFAD9F"/>
    <w:rsid w:val="7E3A3AD1"/>
    <w:rsid w:val="7E477089"/>
    <w:rsid w:val="7E76DE64"/>
    <w:rsid w:val="7EFB60C0"/>
    <w:rsid w:val="7FBEA98D"/>
    <w:rsid w:val="7FEFD5EA"/>
    <w:rsid w:val="7FFE482E"/>
    <w:rsid w:val="9BEF3A17"/>
    <w:rsid w:val="A79E45F0"/>
    <w:rsid w:val="B34D6D78"/>
    <w:rsid w:val="B75BFADF"/>
    <w:rsid w:val="B7DC3D3E"/>
    <w:rsid w:val="BA7F903B"/>
    <w:rsid w:val="BCDDB774"/>
    <w:rsid w:val="BD8BD54B"/>
    <w:rsid w:val="BFFD436A"/>
    <w:rsid w:val="CBFDB2CE"/>
    <w:rsid w:val="CEFF81CE"/>
    <w:rsid w:val="D7FE60C6"/>
    <w:rsid w:val="DEFE5123"/>
    <w:rsid w:val="DEFF7A45"/>
    <w:rsid w:val="DFA197D9"/>
    <w:rsid w:val="DFCF31F2"/>
    <w:rsid w:val="E1ED1AA9"/>
    <w:rsid w:val="E96EEC6B"/>
    <w:rsid w:val="EBFEC75D"/>
    <w:rsid w:val="ED7FF24D"/>
    <w:rsid w:val="EF7EE2B1"/>
    <w:rsid w:val="EFBB23F4"/>
    <w:rsid w:val="EFEC7E54"/>
    <w:rsid w:val="F37EDD49"/>
    <w:rsid w:val="F5BFA24B"/>
    <w:rsid w:val="F5BFB093"/>
    <w:rsid w:val="F66FAF99"/>
    <w:rsid w:val="F6CFC26C"/>
    <w:rsid w:val="F71FB60A"/>
    <w:rsid w:val="F7787F5C"/>
    <w:rsid w:val="F7BF2213"/>
    <w:rsid w:val="F7F23F4A"/>
    <w:rsid w:val="F7FF8390"/>
    <w:rsid w:val="FBD79E79"/>
    <w:rsid w:val="FBF39588"/>
    <w:rsid w:val="FC3BE54B"/>
    <w:rsid w:val="FEB7260D"/>
    <w:rsid w:val="FED79731"/>
    <w:rsid w:val="FF5B06B7"/>
    <w:rsid w:val="FF6E43FC"/>
    <w:rsid w:val="FFD5EB8C"/>
    <w:rsid w:val="FFDFFB95"/>
    <w:rsid w:val="FFE7D380"/>
    <w:rsid w:val="FFF7C585"/>
    <w:rsid w:val="FFFCC674"/>
    <w:rsid w:val="FFFF1571"/>
    <w:rsid w:val="FFFFB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 w:name="heading 5"/>
    <w:lsdException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2">
    <w:name w:val="heading 1"/>
    <w:basedOn w:val="1"/>
    <w:next w:val="1"/>
    <w:link w:val="22"/>
    <w:qFormat/>
    <w:uiPriority w:val="9"/>
    <w:pPr>
      <w:keepNext/>
      <w:keepLines/>
      <w:adjustRightInd w:val="0"/>
      <w:snapToGrid w:val="0"/>
      <w:spacing w:line="560" w:lineRule="exact"/>
      <w:jc w:val="center"/>
      <w:outlineLvl w:val="0"/>
    </w:pPr>
    <w:rPr>
      <w:rFonts w:eastAsia="方正小标宋简体" w:asciiTheme="minorHAnsi" w:hAnsiTheme="minorHAnsi" w:cstheme="minorBidi"/>
      <w:bCs/>
      <w:kern w:val="44"/>
      <w:sz w:val="44"/>
      <w:szCs w:val="44"/>
    </w:rPr>
  </w:style>
  <w:style w:type="paragraph" w:styleId="3">
    <w:name w:val="heading 2"/>
    <w:basedOn w:val="1"/>
    <w:next w:val="1"/>
    <w:link w:val="18"/>
    <w:unhideWhenUsed/>
    <w:qFormat/>
    <w:uiPriority w:val="9"/>
    <w:pPr>
      <w:keepNext/>
      <w:keepLines/>
      <w:adjustRightInd w:val="0"/>
      <w:snapToGrid w:val="0"/>
      <w:spacing w:line="560" w:lineRule="exact"/>
      <w:ind w:firstLine="200" w:firstLineChars="200"/>
      <w:outlineLvl w:val="1"/>
    </w:pPr>
    <w:rPr>
      <w:rFonts w:eastAsia="黑体" w:asciiTheme="majorHAnsi" w:hAnsiTheme="majorHAnsi" w:cstheme="majorBidi"/>
      <w:bCs/>
      <w:szCs w:val="32"/>
    </w:rPr>
  </w:style>
  <w:style w:type="paragraph" w:styleId="4">
    <w:name w:val="heading 3"/>
    <w:basedOn w:val="1"/>
    <w:next w:val="1"/>
    <w:link w:val="20"/>
    <w:unhideWhenUsed/>
    <w:qFormat/>
    <w:uiPriority w:val="9"/>
    <w:pPr>
      <w:keepNext/>
      <w:keepLines/>
      <w:adjustRightInd w:val="0"/>
      <w:snapToGrid w:val="0"/>
      <w:spacing w:line="560" w:lineRule="exact"/>
      <w:ind w:firstLine="200" w:firstLineChars="200"/>
      <w:outlineLvl w:val="2"/>
    </w:pPr>
    <w:rPr>
      <w:rFonts w:eastAsia="楷体_GB2312" w:asciiTheme="minorHAnsi" w:hAnsiTheme="minorHAnsi" w:cstheme="minorBidi"/>
      <w:bCs/>
      <w:szCs w:val="32"/>
    </w:rPr>
  </w:style>
  <w:style w:type="paragraph" w:styleId="5">
    <w:name w:val="heading 4"/>
    <w:basedOn w:val="1"/>
    <w:next w:val="1"/>
    <w:link w:val="21"/>
    <w:unhideWhenUsed/>
    <w:qFormat/>
    <w:uiPriority w:val="9"/>
    <w:pPr>
      <w:keepNext/>
      <w:keepLines/>
      <w:adjustRightInd w:val="0"/>
      <w:snapToGrid w:val="0"/>
      <w:spacing w:line="560" w:lineRule="exact"/>
      <w:ind w:firstLine="200" w:firstLineChars="200"/>
      <w:outlineLvl w:val="3"/>
    </w:pPr>
    <w:rPr>
      <w:rFonts w:asciiTheme="majorHAnsi" w:hAnsiTheme="majorHAnsi" w:cstheme="majorBidi"/>
      <w:b/>
      <w:bCs/>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toc 3"/>
    <w:basedOn w:val="1"/>
    <w:next w:val="1"/>
    <w:unhideWhenUsed/>
    <w:qFormat/>
    <w:uiPriority w:val="39"/>
    <w:pPr>
      <w:ind w:left="840" w:leftChars="400"/>
    </w:pPr>
  </w:style>
  <w:style w:type="paragraph" w:styleId="7">
    <w:name w:val="Balloon Text"/>
    <w:basedOn w:val="1"/>
    <w:link w:val="30"/>
    <w:semiHidden/>
    <w:unhideWhenUsed/>
    <w:qFormat/>
    <w:uiPriority w:val="99"/>
    <w:rPr>
      <w:sz w:val="18"/>
      <w:szCs w:val="18"/>
    </w:rPr>
  </w:style>
  <w:style w:type="paragraph" w:styleId="8">
    <w:name w:val="footer"/>
    <w:basedOn w:val="1"/>
    <w:link w:val="27"/>
    <w:unhideWhenUsed/>
    <w:qFormat/>
    <w:uiPriority w:val="99"/>
    <w:pPr>
      <w:tabs>
        <w:tab w:val="center" w:pos="4153"/>
        <w:tab w:val="right" w:pos="8306"/>
      </w:tabs>
      <w:snapToGrid w:val="0"/>
      <w:jc w:val="left"/>
    </w:pPr>
    <w:rPr>
      <w:sz w:val="18"/>
      <w:szCs w:val="18"/>
    </w:rPr>
  </w:style>
  <w:style w:type="paragraph" w:styleId="9">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Subtitle"/>
    <w:basedOn w:val="1"/>
    <w:next w:val="1"/>
    <w:link w:val="23"/>
    <w:qFormat/>
    <w:uiPriority w:val="11"/>
    <w:pPr>
      <w:adjustRightInd w:val="0"/>
      <w:snapToGrid w:val="0"/>
      <w:spacing w:line="560" w:lineRule="exact"/>
      <w:jc w:val="center"/>
      <w:outlineLvl w:val="1"/>
    </w:pPr>
    <w:rPr>
      <w:rFonts w:eastAsia="楷体_GB2312" w:asciiTheme="majorHAnsi" w:hAnsiTheme="majorHAnsi" w:cstheme="majorBidi"/>
      <w:bCs/>
      <w:kern w:val="28"/>
      <w:szCs w:val="32"/>
    </w:rPr>
  </w:style>
  <w:style w:type="paragraph" w:styleId="12">
    <w:name w:val="toc 2"/>
    <w:basedOn w:val="1"/>
    <w:next w:val="1"/>
    <w:unhideWhenUsed/>
    <w:qFormat/>
    <w:uiPriority w:val="39"/>
    <w:pPr>
      <w:ind w:left="420" w:leftChars="200"/>
    </w:p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table" w:styleId="15">
    <w:name w:val="Table Grid"/>
    <w:basedOn w:val="1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Hyperlink"/>
    <w:basedOn w:val="16"/>
    <w:unhideWhenUsed/>
    <w:qFormat/>
    <w:uiPriority w:val="99"/>
    <w:rPr>
      <w:color w:val="0000FF" w:themeColor="hyperlink"/>
      <w:u w:val="single"/>
    </w:rPr>
  </w:style>
  <w:style w:type="character" w:customStyle="1" w:styleId="18">
    <w:name w:val="标题 2 Char"/>
    <w:basedOn w:val="16"/>
    <w:link w:val="3"/>
    <w:qFormat/>
    <w:uiPriority w:val="9"/>
    <w:rPr>
      <w:rFonts w:eastAsia="黑体" w:asciiTheme="majorHAnsi" w:hAnsiTheme="majorHAnsi" w:cstheme="majorBidi"/>
      <w:bCs/>
      <w:sz w:val="32"/>
      <w:szCs w:val="32"/>
    </w:rPr>
  </w:style>
  <w:style w:type="paragraph" w:styleId="19">
    <w:name w:val="No Spacing"/>
    <w:qFormat/>
    <w:uiPriority w:val="1"/>
    <w:pPr>
      <w:widowControl w:val="0"/>
      <w:adjustRightInd w:val="0"/>
      <w:snapToGrid w:val="0"/>
      <w:spacing w:line="560" w:lineRule="exact"/>
    </w:pPr>
    <w:rPr>
      <w:rFonts w:eastAsia="仿宋_GB2312" w:asciiTheme="minorHAnsi" w:hAnsiTheme="minorHAnsi" w:cstheme="minorBidi"/>
      <w:kern w:val="2"/>
      <w:sz w:val="32"/>
      <w:szCs w:val="22"/>
      <w:lang w:val="en-US" w:eastAsia="zh-CN" w:bidi="ar-SA"/>
    </w:rPr>
  </w:style>
  <w:style w:type="character" w:customStyle="1" w:styleId="20">
    <w:name w:val="标题 3 Char"/>
    <w:basedOn w:val="16"/>
    <w:link w:val="4"/>
    <w:qFormat/>
    <w:uiPriority w:val="9"/>
    <w:rPr>
      <w:rFonts w:eastAsia="楷体_GB2312"/>
      <w:bCs/>
      <w:sz w:val="32"/>
      <w:szCs w:val="32"/>
    </w:rPr>
  </w:style>
  <w:style w:type="character" w:customStyle="1" w:styleId="21">
    <w:name w:val="标题 4 Char"/>
    <w:basedOn w:val="16"/>
    <w:link w:val="5"/>
    <w:qFormat/>
    <w:uiPriority w:val="9"/>
    <w:rPr>
      <w:rFonts w:eastAsia="仿宋_GB2312" w:asciiTheme="majorHAnsi" w:hAnsiTheme="majorHAnsi" w:cstheme="majorBidi"/>
      <w:b/>
      <w:bCs/>
      <w:sz w:val="32"/>
      <w:szCs w:val="28"/>
    </w:rPr>
  </w:style>
  <w:style w:type="character" w:customStyle="1" w:styleId="22">
    <w:name w:val="标题 1 Char"/>
    <w:basedOn w:val="16"/>
    <w:link w:val="2"/>
    <w:qFormat/>
    <w:uiPriority w:val="9"/>
    <w:rPr>
      <w:rFonts w:eastAsia="方正小标宋简体"/>
      <w:bCs/>
      <w:kern w:val="44"/>
      <w:sz w:val="44"/>
      <w:szCs w:val="44"/>
    </w:rPr>
  </w:style>
  <w:style w:type="character" w:customStyle="1" w:styleId="23">
    <w:name w:val="副标题 Char"/>
    <w:basedOn w:val="16"/>
    <w:link w:val="11"/>
    <w:qFormat/>
    <w:uiPriority w:val="11"/>
    <w:rPr>
      <w:rFonts w:eastAsia="楷体_GB2312" w:asciiTheme="majorHAnsi" w:hAnsiTheme="majorHAnsi" w:cstheme="majorBidi"/>
      <w:bCs/>
      <w:kern w:val="28"/>
      <w:sz w:val="32"/>
      <w:szCs w:val="32"/>
    </w:rPr>
  </w:style>
  <w:style w:type="paragraph" w:styleId="24">
    <w:name w:val="List Paragraph"/>
    <w:basedOn w:val="1"/>
    <w:qFormat/>
    <w:uiPriority w:val="34"/>
    <w:pPr>
      <w:adjustRightInd w:val="0"/>
      <w:snapToGrid w:val="0"/>
    </w:pPr>
    <w:rPr>
      <w:rFonts w:eastAsia="宋体" w:asciiTheme="minorHAnsi" w:hAnsiTheme="minorHAnsi" w:cstheme="minorBidi"/>
      <w:sz w:val="24"/>
      <w:szCs w:val="22"/>
    </w:rPr>
  </w:style>
  <w:style w:type="paragraph" w:customStyle="1" w:styleId="25">
    <w:name w:val="落款"/>
    <w:basedOn w:val="1"/>
    <w:qFormat/>
    <w:uiPriority w:val="0"/>
    <w:pPr>
      <w:adjustRightInd w:val="0"/>
      <w:snapToGrid w:val="0"/>
      <w:spacing w:line="560" w:lineRule="exact"/>
      <w:ind w:right="400" w:rightChars="400"/>
      <w:jc w:val="right"/>
    </w:pPr>
    <w:rPr>
      <w:rFonts w:ascii="仿宋_GB2312" w:hAnsiTheme="minorHAnsi" w:cstheme="minorBidi"/>
      <w:szCs w:val="22"/>
    </w:rPr>
  </w:style>
  <w:style w:type="character" w:customStyle="1" w:styleId="26">
    <w:name w:val="页眉 Char"/>
    <w:basedOn w:val="16"/>
    <w:link w:val="9"/>
    <w:qFormat/>
    <w:uiPriority w:val="99"/>
    <w:rPr>
      <w:rFonts w:ascii="Times New Roman" w:hAnsi="Times New Roman" w:eastAsia="仿宋_GB2312" w:cs="Times New Roman"/>
      <w:sz w:val="18"/>
      <w:szCs w:val="18"/>
    </w:rPr>
  </w:style>
  <w:style w:type="character" w:customStyle="1" w:styleId="27">
    <w:name w:val="页脚 Char"/>
    <w:basedOn w:val="16"/>
    <w:link w:val="8"/>
    <w:qFormat/>
    <w:uiPriority w:val="99"/>
    <w:rPr>
      <w:rFonts w:ascii="Times New Roman" w:hAnsi="Times New Roman" w:eastAsia="仿宋_GB2312" w:cs="Times New Roman"/>
      <w:sz w:val="18"/>
      <w:szCs w:val="18"/>
    </w:rPr>
  </w:style>
  <w:style w:type="paragraph" w:customStyle="1" w:styleId="28">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29">
    <w:name w:val="TOC Heading"/>
    <w:basedOn w:val="2"/>
    <w:next w:val="1"/>
    <w:semiHidden/>
    <w:unhideWhenUsed/>
    <w:qFormat/>
    <w:uiPriority w:val="39"/>
    <w:pPr>
      <w:widowControl/>
      <w:adjustRightInd/>
      <w:snapToGrid/>
      <w:spacing w:before="480" w:line="276" w:lineRule="auto"/>
      <w:jc w:val="left"/>
      <w:outlineLvl w:val="9"/>
    </w:pPr>
    <w:rPr>
      <w:rFonts w:asciiTheme="majorHAnsi" w:hAnsiTheme="majorHAnsi" w:eastAsiaTheme="majorEastAsia" w:cstheme="majorBidi"/>
      <w:b/>
      <w:color w:val="366091" w:themeColor="accent1" w:themeShade="BF"/>
      <w:kern w:val="0"/>
      <w:sz w:val="28"/>
      <w:szCs w:val="28"/>
    </w:rPr>
  </w:style>
  <w:style w:type="character" w:customStyle="1" w:styleId="30">
    <w:name w:val="批注框文本 Char"/>
    <w:basedOn w:val="16"/>
    <w:link w:val="7"/>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盐田区政府</Company>
  <Pages>7</Pages>
  <Words>2953</Words>
  <Characters>3056</Characters>
  <Lines>74</Lines>
  <Paragraphs>21</Paragraphs>
  <TotalTime>5</TotalTime>
  <ScaleCrop>false</ScaleCrop>
  <LinksUpToDate>false</LinksUpToDate>
  <CharactersWithSpaces>3056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2019-07-20T11:45:00Z</dcterms:created>
  <dc:creator>刘丹</dc:creator>
  <cp:lastModifiedBy>yt</cp:lastModifiedBy>
  <cp:lastPrinted>2020-02-23T10:30:00Z</cp:lastPrinted>
  <dcterms:modified xsi:type="dcterms:W3CDTF">2022-12-09T15:37:08Z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2299E76FF8B34BBD802C631A5D21C31A</vt:lpwstr>
  </property>
</Properties>
</file>