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0" w:right="0" w:firstLine="0"/>
        <w:jc w:val="both"/>
        <w:textAlignment w:val="auto"/>
        <w:outlineLvl w:val="9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2023年省级深入打好污染防治攻坚战专项资金（绿色循环发展）使用安排额度表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right="0" w:firstLine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</w:t>
      </w:r>
    </w:p>
    <w:tbl>
      <w:tblPr>
        <w:tblStyle w:val="14"/>
        <w:tblW w:w="9018" w:type="dxa"/>
        <w:jc w:val="center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743"/>
        <w:gridCol w:w="1095"/>
        <w:gridCol w:w="3720"/>
        <w:gridCol w:w="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项目单位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推动广东省工业领域碳达峰碳中和工作技术支撑项目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68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广东省工业和信息化厅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通过政府采购，遴选第三方机构承担广东省工业领域碳达峰碳中和技术支撑工作。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0B31"/>
    <w:rsid w:val="3CFE3C9F"/>
    <w:rsid w:val="3DB011B5"/>
    <w:rsid w:val="50E93CBE"/>
    <w:rsid w:val="568F6DC0"/>
    <w:rsid w:val="59840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iPriority w:val="0"/>
  </w:style>
  <w:style w:type="paragraph" w:styleId="11">
    <w:name w:val="toc 4"/>
    <w:basedOn w:val="1"/>
    <w:next w:val="1"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customStyle="1" w:styleId="1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省经济和信息化委员会</Company>
  <Pages>2</Pages>
  <Words>402</Words>
  <Characters>477</Characters>
  <Lines>239</Lines>
  <Paragraphs>141</Paragraphs>
  <TotalTime>7</TotalTime>
  <ScaleCrop>false</ScaleCrop>
  <LinksUpToDate>false</LinksUpToDate>
  <CharactersWithSpaces>485</CharactersWithSpaces>
  <Application>WPS Office_10.8.0.6423_F1E327BC-269C-435d-A152-05C5408002CA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2019-09-04T11:40:00Z</dcterms:created>
  <dc:creator>王宁涛</dc:creator>
  <cp:lastModifiedBy>陈仨珂</cp:lastModifiedBy>
  <cp:lastPrinted>2020-01-17T00:34:00Z</cp:lastPrinted>
  <dcterms:modified xsi:type="dcterms:W3CDTF">2023-01-17T10:27:16Z</dcterms:modified>
  <dc:title>2019年技术改造资金落实情况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