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>
      <w:pPr>
        <w:pStyle w:val="2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>
      <w:pPr>
        <w:pStyle w:val="2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年度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东莞市科研仪器设备开放共享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资助申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报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指南</w:t>
      </w:r>
    </w:p>
    <w:p>
      <w:pPr>
        <w:pStyle w:val="2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</w:p>
    <w:p>
      <w:pPr>
        <w:pStyle w:val="2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</w:p>
    <w:p>
      <w:pPr>
        <w:pStyle w:val="2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</w:p>
    <w:p>
      <w:pPr>
        <w:pStyle w:val="2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</w:p>
    <w:p>
      <w:pPr>
        <w:pStyle w:val="2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</w:p>
    <w:p>
      <w:pPr>
        <w:pStyle w:val="2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</w:p>
    <w:p>
      <w:pPr>
        <w:pStyle w:val="2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东莞市科学技术局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sectPr>
          <w:footerReference r:id="rId3" w:type="default"/>
          <w:pgSz w:w="11906" w:h="16838"/>
          <w:pgMar w:top="2098" w:right="1304" w:bottom="1304" w:left="1304" w:header="851" w:footer="992" w:gutter="0"/>
          <w:pgNumType w:fmt="decimal" w:start="2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二O二三年</w:t>
      </w:r>
    </w:p>
    <w:sdt>
      <w:sdtP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id w:val="147454491"/>
        <w15:color w:val="DBDBDB"/>
        <w:docPartObj>
          <w:docPartGallery w:val="Table of Contents"/>
          <w:docPartUnique/>
        </w:docPartObj>
      </w:sdtPr>
      <w:sdtEndP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rFonts w:hint="eastAsia" w:ascii="黑体" w:hAnsi="黑体" w:eastAsia="黑体" w:cs="黑体"/>
              <w:sz w:val="32"/>
              <w:szCs w:val="32"/>
            </w:rPr>
          </w:pPr>
          <w:r>
            <w:rPr>
              <w:rFonts w:hint="eastAsia" w:ascii="黑体" w:hAnsi="黑体" w:eastAsia="黑体" w:cs="黑体"/>
              <w:sz w:val="32"/>
              <w:szCs w:val="32"/>
            </w:rPr>
            <w:t>目录</w:t>
          </w:r>
        </w:p>
        <w:p>
          <w:pPr>
            <w:pStyle w:val="9"/>
            <w:tabs>
              <w:tab w:val="right" w:leader="dot" w:pos="9298"/>
            </w:tabs>
            <w:rPr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instrText xml:space="preserve">TOC \o "1-3" \h \u </w:instrText>
          </w: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instrText xml:space="preserve"> HYPERLINK \l _Toc23616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eastAsia" w:ascii="黑体" w:hAnsi="黑体" w:eastAsia="黑体" w:cs="黑体"/>
              <w:sz w:val="32"/>
              <w:szCs w:val="32"/>
              <w:lang w:val="en-US" w:eastAsia="zh-CN"/>
            </w:rPr>
            <w:t>一、申报原则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_Toc23616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4</w:t>
          </w:r>
          <w:r>
            <w:rPr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9298"/>
            </w:tabs>
            <w:rPr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instrText xml:space="preserve"> HYPERLINK \l _Toc16596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default" w:ascii="黑体" w:hAnsi="黑体" w:eastAsia="黑体" w:cs="黑体"/>
              <w:sz w:val="32"/>
              <w:szCs w:val="32"/>
              <w:lang w:val="en-US" w:eastAsia="zh-CN"/>
            </w:rPr>
            <w:t>二、管理单位绩效奖励申报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_Toc16596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4</w:t>
          </w:r>
          <w:r>
            <w:rPr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9298"/>
            </w:tabs>
            <w:ind w:left="0" w:leftChars="0" w:firstLine="640" w:firstLineChars="200"/>
            <w:rPr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instrText xml:space="preserve"> HYPERLINK \l _Toc14437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eastAsia" w:ascii="楷体" w:hAnsi="楷体" w:eastAsia="楷体" w:cs="楷体"/>
              <w:sz w:val="32"/>
              <w:szCs w:val="32"/>
              <w:lang w:val="en-US" w:eastAsia="zh-CN"/>
            </w:rPr>
            <w:t>（一）管理单位定义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_Toc14437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4</w:t>
          </w:r>
          <w:r>
            <w:rPr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9298"/>
            </w:tabs>
            <w:ind w:left="0" w:leftChars="0" w:firstLine="640" w:firstLineChars="200"/>
            <w:rPr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instrText xml:space="preserve"> HYPERLINK \l _Toc6586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default" w:ascii="楷体" w:hAnsi="楷体" w:eastAsia="楷体" w:cs="楷体"/>
              <w:sz w:val="32"/>
              <w:szCs w:val="32"/>
              <w:lang w:val="en-US" w:eastAsia="zh-CN"/>
            </w:rPr>
            <w:t>（二）申报条件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_Toc6586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4</w:t>
          </w:r>
          <w:r>
            <w:rPr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9298"/>
            </w:tabs>
            <w:ind w:left="0" w:leftChars="0" w:firstLine="640" w:firstLineChars="200"/>
            <w:rPr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instrText xml:space="preserve"> HYPERLINK \l _Toc13777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default" w:ascii="楷体" w:hAnsi="楷体" w:eastAsia="楷体" w:cs="楷体"/>
              <w:sz w:val="32"/>
              <w:szCs w:val="32"/>
              <w:lang w:val="en-US" w:eastAsia="zh-CN"/>
            </w:rPr>
            <w:t>（三）申报</w:t>
          </w:r>
          <w:r>
            <w:rPr>
              <w:rFonts w:hint="eastAsia" w:ascii="楷体" w:hAnsi="楷体" w:eastAsia="楷体" w:cs="楷体"/>
              <w:sz w:val="32"/>
              <w:szCs w:val="32"/>
              <w:lang w:val="en-US" w:eastAsia="zh-CN"/>
            </w:rPr>
            <w:t>材料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_Toc13777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4</w:t>
          </w:r>
          <w:r>
            <w:rPr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9298"/>
            </w:tabs>
            <w:ind w:left="0" w:leftChars="0" w:firstLine="640" w:firstLineChars="200"/>
            <w:rPr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instrText xml:space="preserve"> HYPERLINK \l _Toc6328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eastAsia" w:ascii="楷体" w:hAnsi="楷体" w:eastAsia="楷体" w:cs="楷体"/>
              <w:sz w:val="32"/>
              <w:szCs w:val="32"/>
              <w:lang w:val="en-US" w:eastAsia="zh-CN"/>
            </w:rPr>
            <w:t>（四）</w:t>
          </w:r>
          <w:r>
            <w:rPr>
              <w:rFonts w:hint="default" w:ascii="楷体" w:hAnsi="楷体" w:eastAsia="楷体" w:cs="楷体"/>
              <w:sz w:val="32"/>
              <w:szCs w:val="32"/>
              <w:lang w:val="en-US" w:eastAsia="zh-CN"/>
            </w:rPr>
            <w:t>纸质材料装订说明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_Toc6328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5</w:t>
          </w:r>
          <w:r>
            <w:rPr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9298"/>
            </w:tabs>
            <w:ind w:left="0" w:leftChars="0" w:firstLine="640" w:firstLineChars="200"/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</w:pP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instrText xml:space="preserve"> HYPERLINK \l _Toc9267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default" w:ascii="楷体" w:hAnsi="楷体" w:eastAsia="楷体" w:cs="楷体"/>
              <w:sz w:val="32"/>
              <w:szCs w:val="32"/>
              <w:lang w:val="en-US" w:eastAsia="zh-CN"/>
            </w:rPr>
            <w:t>（</w:t>
          </w:r>
          <w:r>
            <w:rPr>
              <w:rFonts w:hint="eastAsia" w:ascii="楷体" w:hAnsi="楷体" w:eastAsia="楷体" w:cs="楷体"/>
              <w:sz w:val="32"/>
              <w:szCs w:val="32"/>
              <w:lang w:val="en-US" w:eastAsia="zh-CN"/>
            </w:rPr>
            <w:t>五</w:t>
          </w:r>
          <w:r>
            <w:rPr>
              <w:rFonts w:hint="default" w:ascii="楷体" w:hAnsi="楷体" w:eastAsia="楷体" w:cs="楷体"/>
              <w:sz w:val="32"/>
              <w:szCs w:val="32"/>
              <w:lang w:val="en-US" w:eastAsia="zh-CN"/>
            </w:rPr>
            <w:t>）绩效评价方式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_Toc9267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5</w:t>
          </w:r>
          <w:r>
            <w:rPr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9298"/>
            </w:tabs>
            <w:ind w:left="0" w:leftChars="0" w:firstLine="640" w:firstLineChars="200"/>
            <w:rPr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instrText xml:space="preserve"> HYPERLINK \l _Toc6177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default" w:ascii="楷体" w:hAnsi="楷体" w:eastAsia="楷体" w:cs="楷体"/>
              <w:sz w:val="32"/>
              <w:szCs w:val="32"/>
              <w:lang w:val="en-US" w:eastAsia="zh-CN"/>
            </w:rPr>
            <w:t>（</w:t>
          </w:r>
          <w:r>
            <w:rPr>
              <w:rFonts w:hint="eastAsia" w:ascii="楷体" w:hAnsi="楷体" w:eastAsia="楷体" w:cs="楷体"/>
              <w:sz w:val="32"/>
              <w:szCs w:val="32"/>
              <w:lang w:val="en-US" w:eastAsia="zh-CN"/>
            </w:rPr>
            <w:t>六</w:t>
          </w:r>
          <w:r>
            <w:rPr>
              <w:rFonts w:hint="default" w:ascii="楷体" w:hAnsi="楷体" w:eastAsia="楷体" w:cs="楷体"/>
              <w:sz w:val="32"/>
              <w:szCs w:val="32"/>
              <w:lang w:val="en-US" w:eastAsia="zh-CN"/>
            </w:rPr>
            <w:t>）奖励确定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_Toc6177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6</w:t>
          </w:r>
          <w:r>
            <w:rPr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9298"/>
            </w:tabs>
            <w:rPr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instrText xml:space="preserve"> HYPERLINK \l _Toc8293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default" w:ascii="黑体" w:hAnsi="黑体" w:eastAsia="黑体" w:cs="黑体"/>
              <w:sz w:val="32"/>
              <w:szCs w:val="32"/>
              <w:lang w:val="en-US" w:eastAsia="zh-CN"/>
            </w:rPr>
            <w:t>三、用户单位费用</w:t>
          </w:r>
          <w:r>
            <w:rPr>
              <w:rFonts w:hint="eastAsia" w:ascii="黑体" w:hAnsi="黑体" w:eastAsia="黑体" w:cs="黑体"/>
              <w:sz w:val="32"/>
              <w:szCs w:val="32"/>
              <w:lang w:val="en-US" w:eastAsia="zh-CN"/>
            </w:rPr>
            <w:t>资</w:t>
          </w:r>
          <w:r>
            <w:rPr>
              <w:rFonts w:hint="default" w:ascii="黑体" w:hAnsi="黑体" w:eastAsia="黑体" w:cs="黑体"/>
              <w:sz w:val="32"/>
              <w:szCs w:val="32"/>
              <w:lang w:val="en-US" w:eastAsia="zh-CN"/>
            </w:rPr>
            <w:t>助申报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_Toc8293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6</w:t>
          </w:r>
          <w:r>
            <w:rPr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9298"/>
            </w:tabs>
            <w:ind w:left="0" w:leftChars="0" w:firstLine="640" w:firstLineChars="200"/>
            <w:rPr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instrText xml:space="preserve"> HYPERLINK \l _Toc9690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default" w:ascii="楷体" w:hAnsi="楷体" w:eastAsia="楷体" w:cs="楷体"/>
              <w:sz w:val="32"/>
              <w:szCs w:val="32"/>
              <w:lang w:val="en-US" w:eastAsia="zh-CN"/>
            </w:rPr>
            <w:t>（一）用户单位定义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_Toc9690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6</w:t>
          </w:r>
          <w:r>
            <w:rPr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9298"/>
            </w:tabs>
            <w:ind w:left="0" w:leftChars="0" w:firstLine="640" w:firstLineChars="200"/>
            <w:rPr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instrText xml:space="preserve"> HYPERLINK \l _Toc7018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default" w:ascii="楷体" w:hAnsi="楷体" w:eastAsia="楷体" w:cs="楷体"/>
              <w:sz w:val="32"/>
              <w:szCs w:val="32"/>
              <w:lang w:val="en-US" w:eastAsia="zh-CN"/>
            </w:rPr>
            <w:t>（二）申报条件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_Toc7018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7</w:t>
          </w:r>
          <w:r>
            <w:rPr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9298"/>
            </w:tabs>
            <w:ind w:left="0" w:leftChars="0" w:firstLine="640" w:firstLineChars="200"/>
            <w:rPr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instrText xml:space="preserve"> HYPERLINK \l _Toc18141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default" w:ascii="楷体" w:hAnsi="楷体" w:eastAsia="楷体" w:cs="楷体"/>
              <w:sz w:val="32"/>
              <w:szCs w:val="32"/>
              <w:lang w:val="en-US" w:eastAsia="zh-CN"/>
            </w:rPr>
            <w:t>（三）申报</w:t>
          </w:r>
          <w:r>
            <w:rPr>
              <w:rFonts w:hint="eastAsia" w:ascii="楷体" w:hAnsi="楷体" w:eastAsia="楷体" w:cs="楷体"/>
              <w:sz w:val="32"/>
              <w:szCs w:val="32"/>
              <w:lang w:val="en-US" w:eastAsia="zh-CN"/>
            </w:rPr>
            <w:t>材料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_Toc18141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7</w:t>
          </w:r>
          <w:r>
            <w:rPr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9298"/>
            </w:tabs>
            <w:ind w:left="0" w:leftChars="0" w:firstLine="640" w:firstLineChars="200"/>
            <w:rPr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instrText xml:space="preserve"> HYPERLINK \l _Toc1609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eastAsia" w:ascii="楷体" w:hAnsi="楷体" w:eastAsia="楷体" w:cs="楷体"/>
              <w:sz w:val="32"/>
              <w:szCs w:val="32"/>
              <w:lang w:val="en-US" w:eastAsia="zh-CN"/>
            </w:rPr>
            <w:t>（四）</w:t>
          </w:r>
          <w:r>
            <w:rPr>
              <w:rFonts w:hint="default" w:ascii="楷体" w:hAnsi="楷体" w:eastAsia="楷体" w:cs="楷体"/>
              <w:sz w:val="32"/>
              <w:szCs w:val="32"/>
              <w:lang w:val="en-US" w:eastAsia="zh-CN"/>
            </w:rPr>
            <w:t>纸质材料装订说明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_Toc1609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7</w:t>
          </w:r>
          <w:r>
            <w:rPr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9298"/>
            </w:tabs>
            <w:ind w:left="0" w:leftChars="0" w:firstLine="640" w:firstLineChars="200"/>
            <w:rPr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instrText xml:space="preserve"> HYPERLINK \l _Toc4137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default" w:ascii="楷体" w:hAnsi="楷体" w:eastAsia="楷体" w:cs="楷体"/>
              <w:sz w:val="32"/>
              <w:szCs w:val="32"/>
              <w:lang w:val="en-US" w:eastAsia="zh-CN"/>
            </w:rPr>
            <w:t>（</w:t>
          </w:r>
          <w:r>
            <w:rPr>
              <w:rFonts w:hint="eastAsia" w:ascii="楷体" w:hAnsi="楷体" w:eastAsia="楷体" w:cs="楷体"/>
              <w:sz w:val="32"/>
              <w:szCs w:val="32"/>
              <w:lang w:val="en-US" w:eastAsia="zh-CN"/>
            </w:rPr>
            <w:t>五</w:t>
          </w:r>
          <w:r>
            <w:rPr>
              <w:rFonts w:hint="default" w:ascii="楷体" w:hAnsi="楷体" w:eastAsia="楷体" w:cs="楷体"/>
              <w:sz w:val="32"/>
              <w:szCs w:val="32"/>
              <w:lang w:val="en-US" w:eastAsia="zh-CN"/>
            </w:rPr>
            <w:t>）补助确定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_Toc4137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8</w:t>
          </w:r>
          <w:r>
            <w:rPr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9298"/>
            </w:tabs>
            <w:rPr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instrText xml:space="preserve"> HYPERLINK \l _Toc12755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default" w:ascii="黑体" w:hAnsi="黑体" w:eastAsia="黑体" w:cs="黑体"/>
              <w:sz w:val="32"/>
              <w:szCs w:val="32"/>
              <w:lang w:val="en-US" w:eastAsia="zh-CN"/>
            </w:rPr>
            <w:t>四、</w:t>
          </w:r>
          <w:r>
            <w:rPr>
              <w:rFonts w:hint="eastAsia" w:ascii="黑体" w:hAnsi="黑体" w:eastAsia="黑体" w:cs="黑体"/>
              <w:sz w:val="32"/>
              <w:szCs w:val="32"/>
              <w:lang w:val="en-US" w:eastAsia="zh-CN"/>
            </w:rPr>
            <w:t>共享</w:t>
          </w:r>
          <w:r>
            <w:rPr>
              <w:rFonts w:hint="default" w:ascii="黑体" w:hAnsi="黑体" w:eastAsia="黑体" w:cs="黑体"/>
              <w:sz w:val="32"/>
              <w:szCs w:val="32"/>
              <w:lang w:val="en-US" w:eastAsia="zh-CN"/>
            </w:rPr>
            <w:t>服务站绩效奖励申报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_Toc12755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8</w:t>
          </w:r>
          <w:r>
            <w:rPr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9298"/>
            </w:tabs>
            <w:ind w:left="0" w:leftChars="0" w:firstLine="640" w:firstLineChars="200"/>
            <w:rPr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instrText xml:space="preserve"> HYPERLINK \l _Toc2025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default" w:ascii="楷体" w:hAnsi="楷体" w:eastAsia="楷体" w:cs="楷体"/>
              <w:sz w:val="32"/>
              <w:szCs w:val="32"/>
              <w:lang w:val="en-US" w:eastAsia="zh-CN"/>
            </w:rPr>
            <w:t>（一）</w:t>
          </w:r>
          <w:r>
            <w:rPr>
              <w:rFonts w:hint="eastAsia" w:ascii="楷体" w:hAnsi="楷体" w:eastAsia="楷体" w:cs="楷体"/>
              <w:sz w:val="32"/>
              <w:szCs w:val="32"/>
              <w:lang w:val="en-US" w:eastAsia="zh-CN"/>
            </w:rPr>
            <w:t>共享服务站</w:t>
          </w:r>
          <w:r>
            <w:rPr>
              <w:rFonts w:hint="default" w:ascii="楷体" w:hAnsi="楷体" w:eastAsia="楷体" w:cs="楷体"/>
              <w:sz w:val="32"/>
              <w:szCs w:val="32"/>
              <w:lang w:val="en-US" w:eastAsia="zh-CN"/>
            </w:rPr>
            <w:t>定义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_Toc2025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8</w:t>
          </w:r>
          <w:r>
            <w:rPr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9298"/>
            </w:tabs>
            <w:ind w:left="0" w:leftChars="0" w:firstLine="640" w:firstLineChars="200"/>
            <w:rPr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instrText xml:space="preserve"> HYPERLINK \l _Toc10651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default" w:ascii="楷体" w:hAnsi="楷体" w:eastAsia="楷体" w:cs="楷体"/>
              <w:sz w:val="32"/>
              <w:szCs w:val="32"/>
              <w:lang w:val="en-US" w:eastAsia="zh-CN"/>
            </w:rPr>
            <w:t>（二）申报条件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_Toc10651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8</w:t>
          </w:r>
          <w:r>
            <w:rPr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9298"/>
            </w:tabs>
            <w:ind w:left="0" w:leftChars="0" w:firstLine="640" w:firstLineChars="200"/>
            <w:rPr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instrText xml:space="preserve"> HYPERLINK \l _Toc6421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default" w:ascii="楷体" w:hAnsi="楷体" w:eastAsia="楷体" w:cs="楷体"/>
              <w:sz w:val="32"/>
              <w:szCs w:val="32"/>
              <w:lang w:val="en-US" w:eastAsia="zh-CN"/>
            </w:rPr>
            <w:t>（三）申报</w:t>
          </w:r>
          <w:r>
            <w:rPr>
              <w:rFonts w:hint="eastAsia" w:ascii="楷体" w:hAnsi="楷体" w:eastAsia="楷体" w:cs="楷体"/>
              <w:sz w:val="32"/>
              <w:szCs w:val="32"/>
              <w:lang w:val="en-US" w:eastAsia="zh-CN"/>
            </w:rPr>
            <w:t>材料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_Toc6421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9</w:t>
          </w:r>
          <w:r>
            <w:rPr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9298"/>
            </w:tabs>
            <w:ind w:left="0" w:leftChars="0" w:firstLine="640" w:firstLineChars="200"/>
            <w:rPr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instrText xml:space="preserve"> HYPERLINK \l _Toc19368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eastAsia" w:ascii="楷体" w:hAnsi="楷体" w:eastAsia="楷体" w:cs="楷体"/>
              <w:sz w:val="32"/>
              <w:szCs w:val="32"/>
              <w:lang w:val="en-US" w:eastAsia="zh-CN"/>
            </w:rPr>
            <w:t>（四）</w:t>
          </w:r>
          <w:r>
            <w:rPr>
              <w:rFonts w:hint="default" w:ascii="楷体" w:hAnsi="楷体" w:eastAsia="楷体" w:cs="楷体"/>
              <w:sz w:val="32"/>
              <w:szCs w:val="32"/>
              <w:lang w:val="en-US" w:eastAsia="zh-CN"/>
            </w:rPr>
            <w:t>纸质材料装订说明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_Toc19368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9</w:t>
          </w:r>
          <w:r>
            <w:rPr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9298"/>
            </w:tabs>
            <w:ind w:left="0" w:leftChars="0" w:firstLine="640" w:firstLineChars="200"/>
            <w:rPr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instrText xml:space="preserve"> HYPERLINK \l _Toc29916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default" w:ascii="楷体" w:hAnsi="楷体" w:eastAsia="楷体" w:cs="楷体"/>
              <w:sz w:val="32"/>
              <w:szCs w:val="32"/>
              <w:lang w:val="en-US" w:eastAsia="zh-CN"/>
            </w:rPr>
            <w:t>（</w:t>
          </w:r>
          <w:r>
            <w:rPr>
              <w:rFonts w:hint="eastAsia" w:ascii="楷体" w:hAnsi="楷体" w:eastAsia="楷体" w:cs="楷体"/>
              <w:sz w:val="32"/>
              <w:szCs w:val="32"/>
              <w:lang w:val="en-US" w:eastAsia="zh-CN"/>
            </w:rPr>
            <w:t>五</w:t>
          </w:r>
          <w:r>
            <w:rPr>
              <w:rFonts w:hint="default" w:ascii="楷体" w:hAnsi="楷体" w:eastAsia="楷体" w:cs="楷体"/>
              <w:sz w:val="32"/>
              <w:szCs w:val="32"/>
              <w:lang w:val="en-US" w:eastAsia="zh-CN"/>
            </w:rPr>
            <w:t>）绩效评价方式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_Toc29916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9</w:t>
          </w:r>
          <w:r>
            <w:rPr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9298"/>
            </w:tabs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sectPr>
              <w:footerReference r:id="rId4" w:type="default"/>
              <w:pgSz w:w="11906" w:h="16838"/>
              <w:pgMar w:top="2098" w:right="1304" w:bottom="1304" w:left="1304" w:header="851" w:footer="992" w:gutter="0"/>
              <w:pgNumType w:fmt="decimal" w:start="2"/>
              <w:cols w:space="425" w:num="1"/>
              <w:docGrid w:type="lines" w:linePitch="312" w:charSpace="0"/>
            </w:sectPr>
          </w:pPr>
        </w:p>
        <w:p>
          <w:pPr>
            <w:pStyle w:val="10"/>
            <w:tabs>
              <w:tab w:val="right" w:leader="dot" w:pos="9298"/>
            </w:tabs>
            <w:ind w:left="0" w:leftChars="0" w:firstLine="640" w:firstLineChars="200"/>
            <w:rPr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instrText xml:space="preserve"> HYPERLINK \l _Toc10916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default" w:ascii="楷体" w:hAnsi="楷体" w:eastAsia="楷体" w:cs="楷体"/>
              <w:sz w:val="32"/>
              <w:szCs w:val="32"/>
              <w:lang w:val="en-US" w:eastAsia="zh-CN"/>
            </w:rPr>
            <w:t>（</w:t>
          </w:r>
          <w:r>
            <w:rPr>
              <w:rFonts w:hint="eastAsia" w:ascii="楷体" w:hAnsi="楷体" w:eastAsia="楷体" w:cs="楷体"/>
              <w:sz w:val="32"/>
              <w:szCs w:val="32"/>
              <w:lang w:val="en-US" w:eastAsia="zh-CN"/>
            </w:rPr>
            <w:t>六</w:t>
          </w:r>
          <w:r>
            <w:rPr>
              <w:rFonts w:hint="default" w:ascii="楷体" w:hAnsi="楷体" w:eastAsia="楷体" w:cs="楷体"/>
              <w:sz w:val="32"/>
              <w:szCs w:val="32"/>
              <w:lang w:val="en-US" w:eastAsia="zh-CN"/>
            </w:rPr>
            <w:t>）奖励确定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_Toc10916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10</w:t>
          </w:r>
          <w:r>
            <w:rPr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9298"/>
            </w:tabs>
            <w:rPr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instrText xml:space="preserve"> HYPERLINK \l _Toc22677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default" w:ascii="黑体" w:hAnsi="黑体" w:eastAsia="黑体" w:cs="黑体"/>
              <w:sz w:val="32"/>
              <w:szCs w:val="32"/>
              <w:lang w:val="en-US" w:eastAsia="zh-CN"/>
            </w:rPr>
            <w:t>五、开放共享培训活动补助申报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_Toc22677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10</w:t>
          </w:r>
          <w:r>
            <w:rPr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9298"/>
            </w:tabs>
            <w:ind w:left="0" w:leftChars="0" w:firstLine="640" w:firstLineChars="200"/>
            <w:rPr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instrText xml:space="preserve"> HYPERLINK \l _Toc30356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default" w:ascii="楷体" w:hAnsi="楷体" w:eastAsia="楷体" w:cs="楷体"/>
              <w:sz w:val="32"/>
              <w:szCs w:val="32"/>
              <w:lang w:val="en-US" w:eastAsia="zh-CN"/>
            </w:rPr>
            <w:t>（一）申报条件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_Toc30356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10</w:t>
          </w:r>
          <w:r>
            <w:rPr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9298"/>
            </w:tabs>
            <w:ind w:left="0" w:leftChars="0" w:firstLine="640" w:firstLineChars="200"/>
            <w:rPr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instrText xml:space="preserve"> HYPERLINK \l _Toc9231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default" w:ascii="楷体" w:hAnsi="楷体" w:eastAsia="楷体" w:cs="楷体"/>
              <w:sz w:val="32"/>
              <w:szCs w:val="32"/>
              <w:lang w:val="en-US" w:eastAsia="zh-CN"/>
            </w:rPr>
            <w:t>（二）申报材料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_Toc9231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10</w:t>
          </w:r>
          <w:r>
            <w:rPr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9298"/>
            </w:tabs>
            <w:ind w:left="0" w:leftChars="0" w:firstLine="640" w:firstLineChars="200"/>
            <w:rPr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instrText xml:space="preserve"> HYPERLINK \l _Toc18536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eastAsia" w:ascii="楷体" w:hAnsi="楷体" w:eastAsia="楷体" w:cs="楷体"/>
              <w:sz w:val="32"/>
              <w:szCs w:val="32"/>
              <w:lang w:val="en-US" w:eastAsia="zh-CN"/>
            </w:rPr>
            <w:t>（三）</w:t>
          </w:r>
          <w:r>
            <w:rPr>
              <w:rFonts w:hint="default" w:ascii="楷体" w:hAnsi="楷体" w:eastAsia="楷体" w:cs="楷体"/>
              <w:sz w:val="32"/>
              <w:szCs w:val="32"/>
              <w:lang w:val="en-US" w:eastAsia="zh-CN"/>
            </w:rPr>
            <w:t>纸质材料装订说明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_Toc18536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11</w:t>
          </w:r>
          <w:r>
            <w:rPr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9298"/>
            </w:tabs>
            <w:ind w:left="0" w:leftChars="0" w:firstLine="640" w:firstLineChars="200"/>
            <w:rPr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instrText xml:space="preserve"> HYPERLINK \l _Toc19311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default" w:ascii="楷体" w:hAnsi="楷体" w:eastAsia="楷体" w:cs="楷体"/>
              <w:sz w:val="32"/>
              <w:szCs w:val="32"/>
              <w:lang w:val="en-US" w:eastAsia="zh-CN"/>
            </w:rPr>
            <w:t>（</w:t>
          </w:r>
          <w:r>
            <w:rPr>
              <w:rFonts w:hint="eastAsia" w:ascii="楷体" w:hAnsi="楷体" w:eastAsia="楷体" w:cs="楷体"/>
              <w:sz w:val="32"/>
              <w:szCs w:val="32"/>
              <w:lang w:val="en-US" w:eastAsia="zh-CN"/>
            </w:rPr>
            <w:t>四</w:t>
          </w:r>
          <w:r>
            <w:rPr>
              <w:rFonts w:hint="default" w:ascii="楷体" w:hAnsi="楷体" w:eastAsia="楷体" w:cs="楷体"/>
              <w:sz w:val="32"/>
              <w:szCs w:val="32"/>
              <w:lang w:val="en-US" w:eastAsia="zh-CN"/>
            </w:rPr>
            <w:t>）资助范围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_Toc19311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11</w:t>
          </w:r>
          <w:r>
            <w:rPr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9298"/>
            </w:tabs>
            <w:ind w:left="0" w:leftChars="0" w:firstLine="640" w:firstLineChars="200"/>
            <w:rPr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instrText xml:space="preserve"> HYPERLINK \l _Toc20187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default" w:ascii="楷体" w:hAnsi="楷体" w:eastAsia="楷体" w:cs="楷体"/>
              <w:sz w:val="32"/>
              <w:szCs w:val="32"/>
              <w:lang w:val="en-US" w:eastAsia="zh-CN"/>
            </w:rPr>
            <w:t>（</w:t>
          </w:r>
          <w:r>
            <w:rPr>
              <w:rFonts w:hint="eastAsia" w:ascii="楷体" w:hAnsi="楷体" w:eastAsia="楷体" w:cs="楷体"/>
              <w:sz w:val="32"/>
              <w:szCs w:val="32"/>
              <w:lang w:val="en-US" w:eastAsia="zh-CN"/>
            </w:rPr>
            <w:t>五</w:t>
          </w:r>
          <w:r>
            <w:rPr>
              <w:rFonts w:hint="default" w:ascii="楷体" w:hAnsi="楷体" w:eastAsia="楷体" w:cs="楷体"/>
              <w:sz w:val="32"/>
              <w:szCs w:val="32"/>
              <w:lang w:val="en-US" w:eastAsia="zh-CN"/>
            </w:rPr>
            <w:t>）补助确定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_Toc20187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12</w:t>
          </w:r>
          <w:r>
            <w:rPr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9298"/>
            </w:tabs>
            <w:rPr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instrText xml:space="preserve"> HYPERLINK \l _Toc18690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default" w:ascii="黑体" w:hAnsi="黑体" w:eastAsia="黑体" w:cs="黑体"/>
              <w:sz w:val="32"/>
              <w:szCs w:val="32"/>
              <w:lang w:val="en-US" w:eastAsia="zh-CN"/>
            </w:rPr>
            <w:t>六、资金管理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_Toc18690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12</w:t>
          </w:r>
          <w:r>
            <w:rPr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end"/>
          </w:r>
        </w:p>
        <w:p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80" w:lineRule="exact"/>
            <w:ind w:firstLine="640" w:firstLineChars="200"/>
            <w:textAlignment w:val="auto"/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</w:pPr>
          <w:r>
            <w:rPr>
              <w:rFonts w:hint="eastAsia" w:ascii="仿宋_GB2312" w:hAnsi="仿宋_GB2312" w:eastAsia="仿宋_GB2312" w:cs="仿宋_GB2312"/>
              <w:color w:val="auto"/>
              <w:sz w:val="32"/>
              <w:szCs w:val="32"/>
              <w:lang w:val="en-US" w:eastAsia="zh-CN"/>
            </w:rPr>
            <w:fldChar w:fldCharType="end"/>
          </w:r>
        </w:p>
      </w:sdtContent>
    </w:sdt>
    <w:p>
      <w:pPr>
        <w:pStyle w:val="2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sectPr>
          <w:footerReference r:id="rId5" w:type="default"/>
          <w:pgSz w:w="11906" w:h="16838"/>
          <w:pgMar w:top="2098" w:right="1304" w:bottom="1304" w:left="1304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eastAsia="zh-CN"/>
        </w:rPr>
        <w:t>根据《东莞市科研仪器设备开放共享资助管理办法》（东科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</w:rPr>
        <w:t>〔20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</w:rPr>
        <w:fldChar w:fldCharType="begin"/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</w:rPr>
        <w:instrText xml:space="preserve"> DOCVARIABLE FlFileYear \* MERGEFORMAT </w:instrTex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</w:rPr>
        <w:fldChar w:fldCharType="end"/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</w:rPr>
        <w:t>〕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57号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eastAsia="zh-CN"/>
        </w:rPr>
        <w:t>）的有关规定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，为规范东莞市科研仪器设备开放共享资助申报工作，特制定本申报指南。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bookmarkStart w:id="0" w:name="_Toc23616"/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一、申报原则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符合申报条件的单位只能根据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莞仪在线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账户类型申报对应资助。本资助申报材料中数据主要来源于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莞仪在线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。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bookmarkStart w:id="1" w:name="_Toc16596"/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二、管理单位绩效奖励申报</w:t>
      </w:r>
      <w:bookmarkEnd w:id="1"/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/>
          <w:lang w:val="en-US" w:eastAsia="zh-CN"/>
        </w:rPr>
      </w:pPr>
      <w:bookmarkStart w:id="2" w:name="_Toc14437"/>
      <w:r>
        <w:rPr>
          <w:rFonts w:hint="eastAsia" w:ascii="楷体_GB2312" w:hAnsi="楷体_GB2312" w:eastAsia="楷体_GB2312" w:cs="楷体_GB2312"/>
          <w:b w:val="0"/>
          <w:bCs/>
          <w:lang w:val="en-US" w:eastAsia="zh-CN"/>
        </w:rPr>
        <w:t>（一）管理单位定义</w:t>
      </w:r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管理单位是指拥有科研仪器设备，并通过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莞仪在线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提供科研仪器设备开放共享服务的高等院校、科研机构、企事业单位等。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b w:val="0"/>
          <w:bCs/>
          <w:lang w:val="en-US" w:eastAsia="zh-CN"/>
        </w:rPr>
      </w:pPr>
      <w:bookmarkStart w:id="3" w:name="_Toc6586"/>
      <w:r>
        <w:rPr>
          <w:rFonts w:hint="default" w:ascii="楷体_GB2312" w:hAnsi="楷体_GB2312" w:eastAsia="楷体_GB2312" w:cs="楷体_GB2312"/>
          <w:b w:val="0"/>
          <w:bCs/>
          <w:lang w:val="en-US" w:eastAsia="zh-CN"/>
        </w:rPr>
        <w:t>（二）申报条件</w:t>
      </w:r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1. 在本市行政区域内注册和纳税，并具有独立法人资格。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2. 拥有可开放共享的科研仪器设备及服务场地。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3. 在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莞仪在线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注册，开放共享科研仪器设备不少于20台（套），且原值总额不少于300万元。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4. 建有开放共享服务体系，配备专职的操作（实验）人员。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5. 使用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莞仪在线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实质性地为用户的研发活动提供开放共享服务，获得用户的好评，不存在未处理的服务纠纷。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b w:val="0"/>
          <w:bCs/>
          <w:lang w:val="en-US" w:eastAsia="zh-CN"/>
        </w:rPr>
      </w:pPr>
      <w:bookmarkStart w:id="4" w:name="_Toc13777"/>
      <w:r>
        <w:rPr>
          <w:rFonts w:hint="default" w:ascii="楷体_GB2312" w:hAnsi="楷体_GB2312" w:eastAsia="楷体_GB2312" w:cs="楷体_GB2312"/>
          <w:b w:val="0"/>
          <w:bCs/>
          <w:lang w:val="en-US" w:eastAsia="zh-CN"/>
        </w:rPr>
        <w:t>（三）申报材料</w:t>
      </w:r>
      <w:bookmarkEnd w:id="4"/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申报书在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东莞市科技业务管理系统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中填写。证明材料可以为原件彩色扫描或原件复印件盖单位公章后彩色扫描，在相应位置上传。具体申报材料如下：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 xml:space="preserve">1. 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申报书：在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东莞市科技业务管理系统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中填写。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 xml:space="preserve">2. 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基础材料：营业执照、银行开户证明、人员清单（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东莞市科技业务管理系统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下载模板填写）、相关证书（高新技术企业证书、奖励证书、科研项目政府立项证明等）。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 xml:space="preserve">3. 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预约订单证明材料：预约订单汇总表（东莞市科技业务管理系统</w:t>
      </w:r>
      <w:r>
        <w:rPr>
          <w:rFonts w:hint="eastAsia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“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三、预约订单情况</w:t>
      </w:r>
      <w:r>
        <w:rPr>
          <w:rFonts w:hint="eastAsia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”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上传的表格）、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预约订单证明文件（包括必须提供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发票、银行流水单，选择性提供服务协议、内部服务流程单、检验检测报告（结果）等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 xml:space="preserve">4. 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服务体系建设材料：管理制度、服务标准、资质证书等。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 xml:space="preserve">5. 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培训和宣传材料：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（1）培训材料：培训通知、课件、签到表、现场图片、新闻报道等。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（2）宣传材料：宣传稿件、材料、宣传页面截图等。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b w:val="0"/>
          <w:bCs/>
          <w:lang w:val="en-US" w:eastAsia="zh-CN"/>
        </w:rPr>
      </w:pPr>
      <w:bookmarkStart w:id="5" w:name="_Toc6328"/>
      <w:r>
        <w:rPr>
          <w:rFonts w:hint="default" w:ascii="楷体_GB2312" w:hAnsi="楷体_GB2312" w:eastAsia="楷体_GB2312" w:cs="楷体_GB2312"/>
          <w:b w:val="0"/>
          <w:bCs/>
          <w:lang w:val="en-US" w:eastAsia="zh-CN"/>
        </w:rPr>
        <w:t>（四）纸质材料装订说明</w:t>
      </w:r>
      <w:bookmarkEnd w:id="5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1. 装订顺序：申报书、证明材料目录、营业执照、银行开户证明、人员清单、相关证书、预约订单汇总表、预约订单证明文件、管理制度、服务标准、资质证书、培训材料、宣传材料等。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2. 预约订单证明材料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要求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：为方便审核，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每笔订单的证明材料首页右上角写上订单编号，并按照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预约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订单汇总表顺序排列。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3. 装订要求：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纸质材料</w:t>
      </w:r>
      <w:r>
        <w:rPr>
          <w:rFonts w:hint="eastAsia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须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清晰、完整，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线装成册（材料太厚的可分册装订），一式一份，申报书首页和审核部分、证明材料等加盖单位公章并盖骑缝章。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b w:val="0"/>
          <w:bCs/>
          <w:lang w:val="en-US" w:eastAsia="zh-CN"/>
        </w:rPr>
      </w:pPr>
      <w:bookmarkStart w:id="6" w:name="_Toc9267"/>
      <w:r>
        <w:rPr>
          <w:rFonts w:hint="default" w:ascii="楷体_GB2312" w:hAnsi="楷体_GB2312" w:eastAsia="楷体_GB2312" w:cs="楷体_GB2312"/>
          <w:b w:val="0"/>
          <w:bCs/>
          <w:lang w:val="en-US" w:eastAsia="zh-CN"/>
        </w:rPr>
        <w:t>（五）绩效评价方式</w:t>
      </w:r>
      <w:bookmarkEnd w:id="6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1. 评价指标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（1）一票否决指标：包括录入仪器设数量及原值、被预约的仪器设备数量等。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（2）计分指标：包括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仪器设备录入情况、开放共享服务情况、操作（实验）人员配备情况、培训和宣传情况、管理及服务成效情况等。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（</w:t>
      </w:r>
      <w:r>
        <w:rPr>
          <w:rFonts w:hint="eastAsia" w:cs="Times New Roman"/>
          <w:b w:val="0"/>
          <w:color w:val="auto"/>
          <w:sz w:val="32"/>
          <w:szCs w:val="32"/>
          <w:lang w:val="en-US" w:eastAsia="zh-CN"/>
        </w:rPr>
        <w:t>3</w:t>
      </w:r>
      <w:bookmarkStart w:id="28" w:name="_GoBack"/>
      <w:bookmarkEnd w:id="28"/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）相关说明：预约仪器设备及订单的单位需为东莞市内注册。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2. 计分方式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一票否决指标须全部符合，否则绩效评价结果为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不合格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通过仪器设备录入情况、开放共享服务情况、操作（实验）人员配备情况、培训和宣传情况、管理及服务成效情况等进行计分，所有计分指标得分合计为总得分。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b w:val="0"/>
          <w:bCs/>
          <w:lang w:val="en-US" w:eastAsia="zh-CN"/>
        </w:rPr>
      </w:pPr>
      <w:bookmarkStart w:id="7" w:name="_Toc6177"/>
      <w:r>
        <w:rPr>
          <w:rFonts w:hint="default" w:ascii="楷体_GB2312" w:hAnsi="楷体_GB2312" w:eastAsia="楷体_GB2312" w:cs="楷体_GB2312"/>
          <w:b w:val="0"/>
          <w:bCs/>
          <w:lang w:val="en-US" w:eastAsia="zh-CN"/>
        </w:rPr>
        <w:t>（六）奖励确定</w:t>
      </w:r>
      <w:bookmarkEnd w:id="7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管理单位分为科研机构（含高等学校、科研院所、新型研发机构），专业检验检测机构两类根据总得分确定绩效评价档次。绩效评价档次分为：优秀、良好、合格、不合格。对绩效评价结果为优秀和良好给予奖励。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bookmarkStart w:id="8" w:name="_Toc8293"/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三、用户单位费用资助申报</w:t>
      </w:r>
      <w:bookmarkEnd w:id="8"/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/>
          <w:lang w:val="en-US" w:eastAsia="zh-CN"/>
        </w:rPr>
      </w:pPr>
      <w:bookmarkStart w:id="9" w:name="_Toc9690"/>
      <w:r>
        <w:rPr>
          <w:rFonts w:hint="eastAsia" w:ascii="楷体_GB2312" w:hAnsi="楷体_GB2312" w:eastAsia="楷体_GB2312" w:cs="楷体_GB2312"/>
          <w:b w:val="0"/>
          <w:bCs/>
          <w:lang w:val="en-US" w:eastAsia="zh-CN"/>
        </w:rPr>
        <w:t>（一）用户单位定义</w:t>
      </w:r>
      <w:bookmarkEnd w:id="9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用户单位是指使用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莞仪在线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上开放共享的科研仪器设备开展研发活动，并向管理单位支付服务费的单位。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b w:val="0"/>
          <w:bCs/>
          <w:lang w:val="en-US" w:eastAsia="zh-CN"/>
        </w:rPr>
      </w:pPr>
      <w:bookmarkStart w:id="10" w:name="_Toc7018"/>
      <w:r>
        <w:rPr>
          <w:rFonts w:hint="default" w:ascii="楷体_GB2312" w:hAnsi="楷体_GB2312" w:eastAsia="楷体_GB2312" w:cs="楷体_GB2312"/>
          <w:b w:val="0"/>
          <w:bCs/>
          <w:lang w:val="en-US" w:eastAsia="zh-CN"/>
        </w:rPr>
        <w:t>（二）申报条件</w:t>
      </w:r>
      <w:bookmarkEnd w:id="1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1. 在本市行政区域内注册和纳税，并具有独立法人资格。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2. 在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莞仪在线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注册，利用平台上的科研仪器设备实质性地开展研发活动。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3. 与管理单位签订相关协议（合同），并按约定支付服务费用。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4. 按要求使用“莞仪在线”和科研仪器设备，不存在未处理的服务纠纷。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b w:val="0"/>
          <w:bCs/>
          <w:lang w:val="en-US" w:eastAsia="zh-CN"/>
        </w:rPr>
      </w:pPr>
      <w:r>
        <w:rPr>
          <w:rFonts w:hint="default" w:ascii="楷体_GB2312" w:hAnsi="楷体_GB2312" w:eastAsia="楷体_GB2312" w:cs="楷体_GB2312"/>
          <w:b w:val="0"/>
          <w:bCs/>
          <w:lang w:val="en-US" w:eastAsia="zh-CN"/>
        </w:rPr>
        <w:t>（三）资助对象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用户单位费用资助对象为高等院校、科研机构、高新技术企业。其中，高新技术企业的证书有效期需覆盖2022年度。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b w:val="0"/>
          <w:bCs/>
          <w:lang w:val="en-US" w:eastAsia="zh-CN"/>
        </w:rPr>
      </w:pPr>
      <w:bookmarkStart w:id="11" w:name="_Toc18141"/>
      <w:r>
        <w:rPr>
          <w:rFonts w:hint="default" w:ascii="楷体_GB2312" w:hAnsi="楷体_GB2312" w:eastAsia="楷体_GB2312" w:cs="楷体_GB2312"/>
          <w:b w:val="0"/>
          <w:bCs/>
          <w:lang w:val="en-US" w:eastAsia="zh-CN"/>
        </w:rPr>
        <w:t>（四）申报材料</w:t>
      </w:r>
      <w:bookmarkEnd w:id="11"/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申报书在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东莞市科技业务管理系统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中填写。证明材料可以为原件彩色扫描或原件复印件盖单位公章后彩色扫描，在相应位置上传。具体申报材料如下：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 xml:space="preserve">1. 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申报书：在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东莞市科技业务管理系统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中填写。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 xml:space="preserve">2. 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基础材料：营业执照、银行开户证明、相关证书（高新技术企业证书、奖励证书）。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 xml:space="preserve">3. 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预约订单证明材料：预约订单汇总表（东莞市科技业务管理系统</w:t>
      </w:r>
      <w:r>
        <w:rPr>
          <w:rFonts w:hint="eastAsia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“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三、预约订单情况</w:t>
      </w:r>
      <w:r>
        <w:rPr>
          <w:rFonts w:hint="eastAsia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”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上传的表格）、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预约订单证明文件（包括必须提供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发票、银行流水单，选择性提供服务协议、内部服务流程单、检验检测报告（结果）等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4. 参与开放共享的重点科技创新、重大事件证明材料：科研项目政府立项证明等。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b w:val="0"/>
          <w:bCs/>
          <w:lang w:val="en-US" w:eastAsia="zh-CN"/>
        </w:rPr>
      </w:pPr>
      <w:bookmarkStart w:id="12" w:name="_Toc1609"/>
      <w:r>
        <w:rPr>
          <w:rFonts w:hint="default" w:ascii="楷体_GB2312" w:hAnsi="楷体_GB2312" w:eastAsia="楷体_GB2312" w:cs="楷体_GB2312"/>
          <w:b w:val="0"/>
          <w:bCs/>
          <w:lang w:val="en-US" w:eastAsia="zh-CN"/>
        </w:rPr>
        <w:t>（五）纸质材料装订说明</w:t>
      </w:r>
      <w:bookmarkEnd w:id="12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1. 装订顺序：申报书、证明材料目录、营业执照、银行开户证明、相关证书、预约订单汇总表、预约订单证明文件、重点科技创新证明材料等。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2. 预约订单证明材料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要求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：为方便审核，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每笔订单的证明材料首页右上角写上订单编号，并按照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预约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订单汇总表顺序排列。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3. 装订要求：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纸质材料</w:t>
      </w:r>
      <w:r>
        <w:rPr>
          <w:rFonts w:hint="eastAsia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须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清晰、完整，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线装成册（材料太厚的可分册装订），一式一份，申报书首页和审核部分、证明材料等加盖单位公章并盖骑缝章。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b w:val="0"/>
          <w:bCs/>
          <w:lang w:val="en-US" w:eastAsia="zh-CN"/>
        </w:rPr>
      </w:pPr>
      <w:bookmarkStart w:id="13" w:name="_Toc4137"/>
      <w:r>
        <w:rPr>
          <w:rFonts w:hint="default" w:ascii="楷体_GB2312" w:hAnsi="楷体_GB2312" w:eastAsia="楷体_GB2312" w:cs="楷体_GB2312"/>
          <w:b w:val="0"/>
          <w:bCs/>
          <w:lang w:val="en-US" w:eastAsia="zh-CN"/>
        </w:rPr>
        <w:t>（六）补助确定</w:t>
      </w:r>
      <w:bookmarkEnd w:id="1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对用户单位预约使用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莞仪在线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的科研仪器设备开展研发活动产生的费用给予20%资助，同一单位同一年度资助金额不超过30万元。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bookmarkStart w:id="14" w:name="_Toc12755"/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highlight w:val="none"/>
          <w:lang w:val="en-US" w:eastAsia="zh-CN"/>
        </w:rPr>
        <w:t>共享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服务站绩效奖励申报</w:t>
      </w:r>
      <w:bookmarkEnd w:id="14"/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b w:val="0"/>
          <w:bCs/>
          <w:lang w:val="en-US" w:eastAsia="zh-CN"/>
        </w:rPr>
      </w:pPr>
      <w:bookmarkStart w:id="15" w:name="_Toc2025"/>
      <w:r>
        <w:rPr>
          <w:rFonts w:hint="default" w:ascii="楷体_GB2312" w:hAnsi="楷体_GB2312" w:eastAsia="楷体_GB2312" w:cs="楷体_GB2312"/>
          <w:b w:val="0"/>
          <w:bCs/>
          <w:lang w:val="en-US" w:eastAsia="zh-CN"/>
        </w:rPr>
        <w:t>（一）共享服务站定义</w:t>
      </w:r>
      <w:bookmarkEnd w:id="1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共享服务站是指参与科研仪器设备开放共享工作，发动高校院所、企事业单位等参与开放共享，开展培训、宣传、推广等的中介服务机构、孵化器、产业园区等。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b w:val="0"/>
          <w:bCs/>
          <w:lang w:val="en-US" w:eastAsia="zh-CN"/>
        </w:rPr>
      </w:pPr>
      <w:bookmarkStart w:id="16" w:name="_Toc10651"/>
      <w:r>
        <w:rPr>
          <w:rFonts w:hint="default" w:ascii="楷体_GB2312" w:hAnsi="楷体_GB2312" w:eastAsia="楷体_GB2312" w:cs="楷体_GB2312"/>
          <w:b w:val="0"/>
          <w:bCs/>
          <w:lang w:val="en-US" w:eastAsia="zh-CN"/>
        </w:rPr>
        <w:t>（二）申报条件</w:t>
      </w:r>
      <w:bookmarkEnd w:id="16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1. 在本市行政区域内注册和纳税，并具有独立法人资格。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2. 具有为科研仪器设备开放共享提供服务的资源和能力，在“莞仪在线”注册并通过认定。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3. 建有共享服务体系，配备专业的共享服务专员。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4. 使用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莞仪在线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平台，实质性发动高校院所、企事业单位等参与开放共享，开展培训、宣传、推广和服务等。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b w:val="0"/>
          <w:bCs/>
          <w:lang w:val="en-US" w:eastAsia="zh-CN"/>
        </w:rPr>
      </w:pPr>
      <w:bookmarkStart w:id="17" w:name="_Toc6421"/>
      <w:r>
        <w:rPr>
          <w:rFonts w:hint="default" w:ascii="楷体_GB2312" w:hAnsi="楷体_GB2312" w:eastAsia="楷体_GB2312" w:cs="楷体_GB2312"/>
          <w:b w:val="0"/>
          <w:bCs/>
          <w:lang w:val="en-US" w:eastAsia="zh-CN"/>
        </w:rPr>
        <w:t>（三）申报材料</w:t>
      </w:r>
      <w:bookmarkEnd w:id="17"/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申报书在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东莞市科技业务管理系统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中填写。证明材料可以为原件彩色扫描或原件复印件盖单位公章后彩色扫描，在相应位置上传。具体申报材料如下：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 xml:space="preserve">1. 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申报书：在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东莞市科技业务管理系统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中填写。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 xml:space="preserve">2. 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基础材料：营业执照、银行开户证明、人员清单（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东莞市科技业务管理系统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下载模板填写）、相关证书（高新技术企业证书、奖励证书、科研项目政府立项证明等）。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服务情况汇总表（</w:t>
      </w:r>
      <w:r>
        <w:rPr>
          <w:rFonts w:hint="default" w:ascii="Times New Roman" w:hAnsi="Times New Roman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东莞市科技业务管理系统</w:t>
      </w:r>
      <w:r>
        <w:rPr>
          <w:rFonts w:hint="eastAsia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“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二、开放共享服务情况</w:t>
      </w:r>
      <w:r>
        <w:rPr>
          <w:rFonts w:hint="eastAsia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”</w:t>
      </w:r>
      <w:r>
        <w:rPr>
          <w:rFonts w:hint="default" w:ascii="Times New Roman" w:hAnsi="Times New Roman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下载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的表格）。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服务体系建设材料：管理制度、服务标准等。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培训和宣传材料：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（1）培训材料：培训通知、课件、签到表、现场图片、新闻报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道等。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（2）宣传材料：宣传稿件、材料、宣传页面截图等。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b w:val="0"/>
          <w:bCs/>
          <w:lang w:val="en-US" w:eastAsia="zh-CN"/>
        </w:rPr>
      </w:pPr>
      <w:bookmarkStart w:id="18" w:name="_Toc19368"/>
      <w:r>
        <w:rPr>
          <w:rFonts w:hint="default" w:ascii="楷体_GB2312" w:hAnsi="楷体_GB2312" w:eastAsia="楷体_GB2312" w:cs="楷体_GB2312"/>
          <w:b w:val="0"/>
          <w:bCs/>
          <w:lang w:val="en-US" w:eastAsia="zh-CN"/>
        </w:rPr>
        <w:t>（四）纸质材料装订说明</w:t>
      </w:r>
      <w:bookmarkEnd w:id="18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1. 装订顺序：申报书、证明材料目录、营业执照、银行开户证明、相关证书、人员清单、管理制度、服务标准、培训材料、宣传材料等。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2. 装订要求：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纸质材料</w:t>
      </w:r>
      <w:r>
        <w:rPr>
          <w:rFonts w:hint="eastAsia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须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清晰、完整，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线装成册，一式一份，申报书首页和审核部分、证明材料等加盖单位公章并盖骑缝章。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b w:val="0"/>
          <w:bCs/>
          <w:lang w:val="en-US" w:eastAsia="zh-CN"/>
        </w:rPr>
      </w:pPr>
      <w:bookmarkStart w:id="19" w:name="_Toc29916"/>
      <w:r>
        <w:rPr>
          <w:rFonts w:hint="default" w:ascii="楷体_GB2312" w:hAnsi="楷体_GB2312" w:eastAsia="楷体_GB2312" w:cs="楷体_GB2312"/>
          <w:b w:val="0"/>
          <w:bCs/>
          <w:lang w:val="en-US" w:eastAsia="zh-CN"/>
        </w:rPr>
        <w:t>（五）绩效评价方式</w:t>
      </w:r>
      <w:bookmarkEnd w:id="19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1. 评价指标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（1）一票否决指标：包括推荐单位注册情况、开放共享服务情况等。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（2）计分指标：包括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开放共享服务情况、服务专员配备情况、培训和宣传情况、管理及服务成效情况等。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（3）相关说明：发动注册的单位以及协助预约的仪器设备、订单的单位需为东莞市内注册。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2. 计分方式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一票否决指标须全部符合，否则绩效评价结果为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不合格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。通过开放共享服务情况、服务专员配备情况、培训和宣传情况、管理及服务成效情况等进行计分。所有计分指标得分合计为总得分。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b w:val="0"/>
          <w:bCs/>
          <w:lang w:val="en-US" w:eastAsia="zh-CN"/>
        </w:rPr>
      </w:pPr>
      <w:bookmarkStart w:id="20" w:name="_Toc10916"/>
      <w:r>
        <w:rPr>
          <w:rFonts w:hint="default" w:ascii="楷体_GB2312" w:hAnsi="楷体_GB2312" w:eastAsia="楷体_GB2312" w:cs="楷体_GB2312"/>
          <w:b w:val="0"/>
          <w:bCs/>
          <w:lang w:val="en-US" w:eastAsia="zh-CN"/>
        </w:rPr>
        <w:t>（六）奖励确定</w:t>
      </w:r>
      <w:bookmarkEnd w:id="2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根据总得分确定绩效评价档次。绩效评价档次分为：优秀、良好、合格、不合格。对绩效评价结果为优秀和良好给予奖励。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bookmarkStart w:id="21" w:name="_Toc22677"/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五、开放共享培训活动资助申报</w:t>
      </w:r>
      <w:bookmarkEnd w:id="21"/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b w:val="0"/>
          <w:bCs/>
          <w:lang w:val="en-US" w:eastAsia="zh-CN"/>
        </w:rPr>
      </w:pPr>
      <w:bookmarkStart w:id="22" w:name="_Toc30356"/>
      <w:r>
        <w:rPr>
          <w:rFonts w:hint="default" w:ascii="楷体_GB2312" w:hAnsi="楷体_GB2312" w:eastAsia="楷体_GB2312" w:cs="楷体_GB2312"/>
          <w:b w:val="0"/>
          <w:bCs/>
          <w:lang w:val="en-US" w:eastAsia="zh-CN"/>
        </w:rPr>
        <w:t>（一）申报条件</w:t>
      </w:r>
      <w:bookmarkEnd w:id="2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1. 在本市行政区域内注册和纳税，具有独立法人资格的市科学技术局委托的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莞仪在线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第三方服务机构以及2021年度评价结果为合格及以上的管理单位、共享服务站。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2. 制定培训方案并在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莞仪在线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上备案及发布通知。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3. 实质性开展科研仪器设备开放共享的培训活动。每次参加培训的企业数原则上不少于10家。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b w:val="0"/>
          <w:bCs/>
          <w:lang w:val="en-US" w:eastAsia="zh-CN"/>
        </w:rPr>
      </w:pPr>
      <w:bookmarkStart w:id="23" w:name="_Toc9231"/>
      <w:r>
        <w:rPr>
          <w:rFonts w:hint="default" w:ascii="楷体_GB2312" w:hAnsi="楷体_GB2312" w:eastAsia="楷体_GB2312" w:cs="楷体_GB2312"/>
          <w:b w:val="0"/>
          <w:bCs/>
          <w:lang w:val="en-US" w:eastAsia="zh-CN"/>
        </w:rPr>
        <w:t>（二）申报材料</w:t>
      </w:r>
      <w:bookmarkEnd w:id="23"/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申报书在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东莞市科技业务管理系统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中填写。证明材料可以为原件彩色扫描或原件复印件盖单位公章后彩色扫描，在相应位置上传。具体申报材料如下：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 xml:space="preserve">1. 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申报书：在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东莞市科技业务管理系统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中填写。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 xml:space="preserve">2. 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基础材料：营业执照、银行开户证明、相关证书（高新技术企业证书、奖励证书、科研项目政府立项证明等）。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color w:val="auto"/>
          <w:kern w:val="2"/>
          <w:sz w:val="32"/>
          <w:szCs w:val="32"/>
          <w:lang w:val="en-US" w:eastAsia="zh-CN" w:bidi="ar-SA"/>
        </w:rPr>
        <w:t>3. 培训材料：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（1）费用支出证明材料：费用支出明细表（在东莞市科技业务管理系统</w:t>
      </w:r>
      <w:r>
        <w:rPr>
          <w:rFonts w:hint="eastAsia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“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二、培训情况</w:t>
      </w:r>
      <w:r>
        <w:rPr>
          <w:rFonts w:hint="eastAsia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”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上传费用支出明细表）、费用支出证明文件（发票、银行流水单、协议等）。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（2）培训证明材料：培训通知、</w:t>
      </w:r>
      <w:r>
        <w:rPr>
          <w:rFonts w:hint="default" w:ascii="Times New Roman" w:hAnsi="Times New Roman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方案、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课件、签到表、现场图片、新闻报道等。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b w:val="0"/>
          <w:bCs/>
          <w:lang w:val="en-US" w:eastAsia="zh-CN"/>
        </w:rPr>
      </w:pPr>
      <w:bookmarkStart w:id="24" w:name="_Toc18536"/>
      <w:r>
        <w:rPr>
          <w:rFonts w:hint="default" w:ascii="楷体_GB2312" w:hAnsi="楷体_GB2312" w:eastAsia="楷体_GB2312" w:cs="楷体_GB2312"/>
          <w:b w:val="0"/>
          <w:bCs/>
          <w:lang w:val="en-US" w:eastAsia="zh-CN"/>
        </w:rPr>
        <w:t>（三）纸质材料装订说明</w:t>
      </w:r>
      <w:bookmarkEnd w:id="24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1. 装订顺序：申报书、证明材料目录、营业执照、银行开户证明、相关证书、培训材料等。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2. 费用支出证明材料要求：为方便审核，每项支出的证明材料首页右上角写上费用支出明细表上对应的序号，并按照序号排列。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3. 装订要求：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纸质材料</w:t>
      </w:r>
      <w:r>
        <w:rPr>
          <w:rFonts w:hint="eastAsia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须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清晰、完整，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线装成册，一式一份，申报书首页和审核部分、证明材料等加盖单位公章并盖骑缝章。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b w:val="0"/>
          <w:bCs/>
          <w:lang w:val="en-US" w:eastAsia="zh-CN"/>
        </w:rPr>
      </w:pPr>
      <w:bookmarkStart w:id="25" w:name="_Toc19311"/>
      <w:r>
        <w:rPr>
          <w:rFonts w:hint="default" w:ascii="楷体_GB2312" w:hAnsi="楷体_GB2312" w:eastAsia="楷体_GB2312" w:cs="楷体_GB2312"/>
          <w:b w:val="0"/>
          <w:bCs/>
          <w:lang w:val="en-US" w:eastAsia="zh-CN"/>
        </w:rPr>
        <w:t>（四）资助范围</w:t>
      </w:r>
      <w:bookmarkEnd w:id="2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对开展培训活动产生的费用进行资助，包括培训师讲课费、课程开发费、课件制作费，培训师食宿费及交通费，培训设备设施租赁费、材料费等。培训师包括外聘专业人员和本单位职工。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color w:val="auto"/>
          <w:kern w:val="2"/>
          <w:sz w:val="32"/>
          <w:szCs w:val="32"/>
          <w:lang w:val="en-US" w:eastAsia="zh-CN" w:bidi="ar-SA"/>
        </w:rPr>
        <w:t>2. 相关说明：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color w:val="auto"/>
          <w:kern w:val="2"/>
          <w:sz w:val="32"/>
          <w:szCs w:val="32"/>
          <w:lang w:val="en-US" w:eastAsia="zh-CN" w:bidi="ar-SA"/>
        </w:rPr>
        <w:t>（1）管理单位、共享服务站培训活动资助单个活动补助额度最高不超过2万元。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color w:val="auto"/>
          <w:kern w:val="2"/>
          <w:sz w:val="32"/>
          <w:szCs w:val="32"/>
          <w:lang w:val="en-US" w:eastAsia="zh-CN" w:bidi="ar-SA"/>
        </w:rPr>
        <w:t>（2）涉及收费的活动不予资助。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b w:val="0"/>
          <w:bCs/>
          <w:lang w:val="en-US" w:eastAsia="zh-CN"/>
        </w:rPr>
      </w:pPr>
      <w:bookmarkStart w:id="26" w:name="_Toc20187"/>
      <w:r>
        <w:rPr>
          <w:rFonts w:hint="default" w:ascii="楷体_GB2312" w:hAnsi="楷体_GB2312" w:eastAsia="楷体_GB2312" w:cs="楷体_GB2312"/>
          <w:b w:val="0"/>
          <w:bCs/>
          <w:lang w:val="en-US" w:eastAsia="zh-CN"/>
        </w:rPr>
        <w:t>（五）补助确定</w:t>
      </w:r>
      <w:bookmarkEnd w:id="26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 xml:space="preserve">1. 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莞仪在线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第三方服务机构培训活动资助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市科学技术局委托的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莞仪在线</w:t>
      </w:r>
      <w:r>
        <w:rPr>
          <w:rFonts w:hint="eastAsia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第三方服务机构组织全市范围内的科研仪器设备开放共享行业性、综合性培训，实报实销，全额资助，同一单位同一年度补贴不超过30万。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管理单位、共享服务站培训活动资助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上年度评价结果为优秀的，本年度培训经费资助比例为80%，同一单位同一年度资助经费最高不超过30万元。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上年度评价结果为良好的，本年度培训经费资助比例为60%，同一单位同一年度资助经费最高不超过20万元。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上年度评价结果为合格的，本年度培训经费资助比例为50%，同一单位同一年度资助经费最高不超过10万元。上年度评价结果为不合格的，不给予资助。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bookmarkStart w:id="27" w:name="_Toc18690"/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六、资金管理</w:t>
      </w:r>
      <w:bookmarkEnd w:id="27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color w:val="auto"/>
          <w:sz w:val="32"/>
          <w:szCs w:val="32"/>
          <w:lang w:val="en-US" w:eastAsia="zh-CN"/>
        </w:rPr>
        <w:t>各单位获得仪器设备开放共享资助主要用于运营维护、培训、宣传推广等开放共享相关费用支出。对以虚假方式冒领、套取或骗取补贴资金的单位，按照相关文件严肃处理。</w:t>
      </w:r>
    </w:p>
    <w:sectPr>
      <w:footerReference r:id="rId6" w:type="default"/>
      <w:pgSz w:w="11906" w:h="16838"/>
      <w:pgMar w:top="2098" w:right="1304" w:bottom="1304" w:left="130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0" w:leftChars="0" w:right="0" w:rightChars="0" w:firstLine="0" w:firstLineChars="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0" w:leftChars="0" w:right="0" w:rightChars="0" w:firstLine="0" w:firstLineChars="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FgAAAGRycy9QSwECFAAUAAAA&#10;CACHTuJAs0lY7tAAAAAFAQAADwAAAAAAAAABACAAAAA4AAAAZHJzL2Rvd25yZXYueG1sUEsBAhQA&#10;FAAAAAgAh07iQPXvojAdAgAAKQQAAA4AAAAAAAAAAQAgAAAAN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0" w:leftChars="0" w:right="0" w:rightChars="0" w:firstLine="0" w:firstLineChars="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0" w:leftChars="0" w:right="0" w:rightChars="0" w:firstLine="0" w:firstLineChars="0"/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UwRDjBwCAAAp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7C991E"/>
    <w:multiLevelType w:val="singleLevel"/>
    <w:tmpl w:val="EF7C991E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lNDUwZTg0ZTg3NGMyNTY5NWQxZTQzYzk1MDZiN2MifQ=="/>
  </w:docVars>
  <w:rsids>
    <w:rsidRoot w:val="66511076"/>
    <w:rsid w:val="00D46C84"/>
    <w:rsid w:val="01E75FDE"/>
    <w:rsid w:val="02672ADF"/>
    <w:rsid w:val="038D4985"/>
    <w:rsid w:val="046F521C"/>
    <w:rsid w:val="04F73278"/>
    <w:rsid w:val="06200D0D"/>
    <w:rsid w:val="083B347B"/>
    <w:rsid w:val="08546825"/>
    <w:rsid w:val="0B883469"/>
    <w:rsid w:val="0DDE20A3"/>
    <w:rsid w:val="12143774"/>
    <w:rsid w:val="128D7F36"/>
    <w:rsid w:val="13533CA0"/>
    <w:rsid w:val="13DF956B"/>
    <w:rsid w:val="14C15977"/>
    <w:rsid w:val="14C802DE"/>
    <w:rsid w:val="15122F22"/>
    <w:rsid w:val="15A546BA"/>
    <w:rsid w:val="191143E7"/>
    <w:rsid w:val="19E82D37"/>
    <w:rsid w:val="1A995F15"/>
    <w:rsid w:val="1B7B260D"/>
    <w:rsid w:val="1CCB4DE3"/>
    <w:rsid w:val="1DEA6CA8"/>
    <w:rsid w:val="1F177109"/>
    <w:rsid w:val="2021339B"/>
    <w:rsid w:val="203662CA"/>
    <w:rsid w:val="204C080C"/>
    <w:rsid w:val="209D6B50"/>
    <w:rsid w:val="21203183"/>
    <w:rsid w:val="217E57AA"/>
    <w:rsid w:val="230E42F8"/>
    <w:rsid w:val="23801E4C"/>
    <w:rsid w:val="25DF1E20"/>
    <w:rsid w:val="25FB6173"/>
    <w:rsid w:val="26767C10"/>
    <w:rsid w:val="27BF670F"/>
    <w:rsid w:val="27E42766"/>
    <w:rsid w:val="280D2908"/>
    <w:rsid w:val="281F3425"/>
    <w:rsid w:val="29CD26F8"/>
    <w:rsid w:val="2A7725E2"/>
    <w:rsid w:val="2C190119"/>
    <w:rsid w:val="2C6C5D03"/>
    <w:rsid w:val="2CCF1262"/>
    <w:rsid w:val="2E3A5A9A"/>
    <w:rsid w:val="2EF6660A"/>
    <w:rsid w:val="2FA92E3F"/>
    <w:rsid w:val="31505547"/>
    <w:rsid w:val="327F430B"/>
    <w:rsid w:val="32B01634"/>
    <w:rsid w:val="32E14A9C"/>
    <w:rsid w:val="33B072F7"/>
    <w:rsid w:val="34502B3C"/>
    <w:rsid w:val="35170242"/>
    <w:rsid w:val="366A6A6E"/>
    <w:rsid w:val="377E62E3"/>
    <w:rsid w:val="379320DC"/>
    <w:rsid w:val="3A0618BD"/>
    <w:rsid w:val="3A0970A3"/>
    <w:rsid w:val="3A564C46"/>
    <w:rsid w:val="3A8E5E1E"/>
    <w:rsid w:val="3BFF4662"/>
    <w:rsid w:val="3DAD7F37"/>
    <w:rsid w:val="3DAF72B3"/>
    <w:rsid w:val="3E3D376B"/>
    <w:rsid w:val="3E594080"/>
    <w:rsid w:val="3ED6747E"/>
    <w:rsid w:val="3F39A93D"/>
    <w:rsid w:val="3FC94924"/>
    <w:rsid w:val="3FCED0AD"/>
    <w:rsid w:val="3FD5C61F"/>
    <w:rsid w:val="3FE90102"/>
    <w:rsid w:val="3FF73AD9"/>
    <w:rsid w:val="3FFF4901"/>
    <w:rsid w:val="40886A56"/>
    <w:rsid w:val="41A73354"/>
    <w:rsid w:val="41E976F4"/>
    <w:rsid w:val="44EC6711"/>
    <w:rsid w:val="44F45700"/>
    <w:rsid w:val="46B130B1"/>
    <w:rsid w:val="4758548B"/>
    <w:rsid w:val="47C66199"/>
    <w:rsid w:val="483D2A3F"/>
    <w:rsid w:val="49A308A5"/>
    <w:rsid w:val="4ACE21C2"/>
    <w:rsid w:val="4B100DF8"/>
    <w:rsid w:val="4B6A7128"/>
    <w:rsid w:val="4DAC0413"/>
    <w:rsid w:val="4DE8342F"/>
    <w:rsid w:val="4DF81A75"/>
    <w:rsid w:val="4E101123"/>
    <w:rsid w:val="4E6064F9"/>
    <w:rsid w:val="4EA23281"/>
    <w:rsid w:val="4F3F1E3E"/>
    <w:rsid w:val="4FA72771"/>
    <w:rsid w:val="509F6760"/>
    <w:rsid w:val="51477E5E"/>
    <w:rsid w:val="51856AC6"/>
    <w:rsid w:val="518C4D4D"/>
    <w:rsid w:val="5191010D"/>
    <w:rsid w:val="51E13DEE"/>
    <w:rsid w:val="51FF739F"/>
    <w:rsid w:val="52A015F3"/>
    <w:rsid w:val="52EA291E"/>
    <w:rsid w:val="54901F97"/>
    <w:rsid w:val="56847368"/>
    <w:rsid w:val="5739203E"/>
    <w:rsid w:val="57A72053"/>
    <w:rsid w:val="57E52175"/>
    <w:rsid w:val="58253F22"/>
    <w:rsid w:val="58782EFD"/>
    <w:rsid w:val="5A1B4AF4"/>
    <w:rsid w:val="5AA12DF0"/>
    <w:rsid w:val="5B2A2BD4"/>
    <w:rsid w:val="5C132852"/>
    <w:rsid w:val="5C9A6E0A"/>
    <w:rsid w:val="5CBE4D78"/>
    <w:rsid w:val="5DB97708"/>
    <w:rsid w:val="5E4D2163"/>
    <w:rsid w:val="5F7F16E8"/>
    <w:rsid w:val="5FC2F652"/>
    <w:rsid w:val="60865ACD"/>
    <w:rsid w:val="611A1672"/>
    <w:rsid w:val="631C1056"/>
    <w:rsid w:val="646C2100"/>
    <w:rsid w:val="64E73130"/>
    <w:rsid w:val="65A215B9"/>
    <w:rsid w:val="662264AB"/>
    <w:rsid w:val="663331E5"/>
    <w:rsid w:val="66511076"/>
    <w:rsid w:val="67295542"/>
    <w:rsid w:val="67E72B54"/>
    <w:rsid w:val="67FB3202"/>
    <w:rsid w:val="681A1271"/>
    <w:rsid w:val="68751AA8"/>
    <w:rsid w:val="68C205EB"/>
    <w:rsid w:val="6AF7EE58"/>
    <w:rsid w:val="6B31F1CB"/>
    <w:rsid w:val="6B9D785D"/>
    <w:rsid w:val="6C513D6B"/>
    <w:rsid w:val="6C881EEF"/>
    <w:rsid w:val="6CE2761F"/>
    <w:rsid w:val="6DF3273C"/>
    <w:rsid w:val="6E4046B2"/>
    <w:rsid w:val="6FA1312D"/>
    <w:rsid w:val="6FA721D4"/>
    <w:rsid w:val="70C310C6"/>
    <w:rsid w:val="71963483"/>
    <w:rsid w:val="71F51302"/>
    <w:rsid w:val="73AA2739"/>
    <w:rsid w:val="73FF87C4"/>
    <w:rsid w:val="742E393F"/>
    <w:rsid w:val="75BB6B8A"/>
    <w:rsid w:val="76BA2111"/>
    <w:rsid w:val="76FFA33D"/>
    <w:rsid w:val="771D13E7"/>
    <w:rsid w:val="78197361"/>
    <w:rsid w:val="79342A72"/>
    <w:rsid w:val="7AA31F87"/>
    <w:rsid w:val="7BAD7047"/>
    <w:rsid w:val="7BD22C95"/>
    <w:rsid w:val="7BFF27A7"/>
    <w:rsid w:val="7D1FD634"/>
    <w:rsid w:val="7D446D5A"/>
    <w:rsid w:val="7DF5C301"/>
    <w:rsid w:val="7DFED8B2"/>
    <w:rsid w:val="7E8948EB"/>
    <w:rsid w:val="7EE7CC21"/>
    <w:rsid w:val="7EFDBEFA"/>
    <w:rsid w:val="7F7B13C7"/>
    <w:rsid w:val="7F7F6A77"/>
    <w:rsid w:val="7FAFF0FB"/>
    <w:rsid w:val="7FFF93CC"/>
    <w:rsid w:val="913F1F24"/>
    <w:rsid w:val="ADF577AD"/>
    <w:rsid w:val="B7F1CFF2"/>
    <w:rsid w:val="BF3E1081"/>
    <w:rsid w:val="BF7F4F09"/>
    <w:rsid w:val="BFF1634B"/>
    <w:rsid w:val="D37FE557"/>
    <w:rsid w:val="D69C29E0"/>
    <w:rsid w:val="D9ED4F2C"/>
    <w:rsid w:val="DDF53D3C"/>
    <w:rsid w:val="DEF732FB"/>
    <w:rsid w:val="EEBF5CA0"/>
    <w:rsid w:val="EFB86ECA"/>
    <w:rsid w:val="EFD95BA6"/>
    <w:rsid w:val="EFFAD368"/>
    <w:rsid w:val="F3FF43F9"/>
    <w:rsid w:val="FAFFBFC6"/>
    <w:rsid w:val="FB7FE23E"/>
    <w:rsid w:val="FB9507F9"/>
    <w:rsid w:val="FBA6B178"/>
    <w:rsid w:val="FF640A8A"/>
    <w:rsid w:val="FF76F888"/>
    <w:rsid w:val="FFBD2614"/>
    <w:rsid w:val="FFDD5314"/>
    <w:rsid w:val="FFF95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nhideWhenUsed/>
    <w:qFormat/>
    <w:uiPriority w:val="0"/>
    <w:pPr>
      <w:ind w:firstLine="641"/>
    </w:pPr>
    <w:rPr>
      <w:rFonts w:ascii="黑体" w:hAnsi="黑体" w:eastAsia="黑体" w:cs="黑体"/>
      <w:b/>
      <w:szCs w:val="22"/>
    </w:r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next w:val="1"/>
    <w:qFormat/>
    <w:uiPriority w:val="0"/>
    <w:pPr>
      <w:ind w:right="-35" w:rightChars="-12"/>
    </w:pPr>
    <w:rPr>
      <w:rFonts w:ascii="Times New Roman" w:hAnsi="Times New Roman" w:eastAsia="仿宋_GB2312" w:cs="Times New Roman"/>
      <w:sz w:val="31"/>
      <w:szCs w:val="24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qFormat/>
    <w:uiPriority w:val="0"/>
  </w:style>
  <w:style w:type="paragraph" w:styleId="10">
    <w:name w:val="toc 2"/>
    <w:basedOn w:val="1"/>
    <w:next w:val="1"/>
    <w:qFormat/>
    <w:uiPriority w:val="0"/>
    <w:pPr>
      <w:ind w:left="420" w:leftChars="200"/>
    </w:pPr>
  </w:style>
  <w:style w:type="paragraph" w:customStyle="1" w:styleId="13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4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5">
    <w:name w:val="WPSOffice手动目录 3"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4413</Words>
  <Characters>4502</Characters>
  <Lines>0</Lines>
  <Paragraphs>0</Paragraphs>
  <TotalTime>0</TotalTime>
  <ScaleCrop>false</ScaleCrop>
  <LinksUpToDate>false</LinksUpToDate>
  <CharactersWithSpaces>4637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2021-12-30T23:52:00Z</dcterms:created>
  <dc:creator>LENOVO</dc:creator>
  <cp:lastModifiedBy>uoa</cp:lastModifiedBy>
  <cp:lastPrinted>2022-01-14T10:34:00Z</cp:lastPrinted>
  <dcterms:modified xsi:type="dcterms:W3CDTF">2023-03-30T15:42:59Z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3D27AE90D0CB4B3EAF038A6442266EFE</vt:lpwstr>
  </property>
</Properties>
</file>