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imes New Roman" w:hAnsi="Times New Roman" w:eastAsia="方正黑体_GBK"/>
          <w:sz w:val="32"/>
          <w:szCs w:val="32"/>
        </w:rPr>
      </w:pPr>
      <w:r>
        <w:rPr>
          <w:rFonts w:hint="eastAsia" w:ascii="Times New Roman" w:hAnsi="Times New Roman" w:eastAsia="方正黑体_GBK"/>
          <w:sz w:val="32"/>
          <w:szCs w:val="32"/>
        </w:rPr>
        <w:t>附件</w:t>
      </w:r>
    </w:p>
    <w:p>
      <w:pPr>
        <w:rPr>
          <w:rFonts w:hint="eastAsia" w:ascii="Times New Roman" w:hAnsi="Times New Roman" w:eastAsia="方正黑体_GBK"/>
          <w:sz w:val="32"/>
          <w:szCs w:val="32"/>
        </w:rPr>
      </w:pPr>
    </w:p>
    <w:p>
      <w:pPr>
        <w:adjustRightInd w:val="0"/>
        <w:snapToGrid w:val="0"/>
        <w:jc w:val="center"/>
        <w:rPr>
          <w:rFonts w:ascii="Times New Roman" w:hAnsi="Times New Roman" w:eastAsia="方正小标宋_GBK"/>
          <w:spacing w:val="-8"/>
          <w:sz w:val="44"/>
          <w:szCs w:val="44"/>
        </w:rPr>
      </w:pPr>
      <w:r>
        <w:rPr>
          <w:rFonts w:ascii="Times New Roman" w:hAnsi="Times New Roman" w:eastAsia="方正小标宋_GBK"/>
          <w:spacing w:val="-8"/>
          <w:sz w:val="44"/>
          <w:szCs w:val="44"/>
        </w:rPr>
        <w:t>2022</w:t>
      </w:r>
      <w:r>
        <w:rPr>
          <w:rFonts w:hint="eastAsia" w:ascii="Times New Roman" w:hAnsi="Times New Roman" w:eastAsia="方正小标宋_GBK"/>
          <w:spacing w:val="-8"/>
          <w:sz w:val="44"/>
          <w:szCs w:val="44"/>
        </w:rPr>
        <w:t>年知识产权风险预测预警</w:t>
      </w:r>
    </w:p>
    <w:p>
      <w:pPr>
        <w:adjustRightInd w:val="0"/>
        <w:snapToGrid w:val="0"/>
        <w:jc w:val="center"/>
        <w:rPr>
          <w:rFonts w:hint="eastAsia" w:ascii="Times New Roman" w:hAnsi="Times New Roman" w:eastAsia="方正小标宋_GBK"/>
          <w:sz w:val="44"/>
          <w:szCs w:val="36"/>
        </w:rPr>
      </w:pPr>
      <w:r>
        <w:rPr>
          <w:rFonts w:hint="eastAsia" w:ascii="Times New Roman" w:hAnsi="Times New Roman" w:eastAsia="方正小标宋_GBK"/>
          <w:spacing w:val="-8"/>
          <w:sz w:val="44"/>
          <w:szCs w:val="44"/>
        </w:rPr>
        <w:t>项目验收</w:t>
      </w:r>
      <w:r>
        <w:rPr>
          <w:rFonts w:hint="eastAsia" w:ascii="Times New Roman" w:hAnsi="Times New Roman" w:eastAsia="方正小标宋_GBK"/>
          <w:sz w:val="44"/>
          <w:szCs w:val="36"/>
        </w:rPr>
        <w:t>结果清单</w:t>
      </w:r>
    </w:p>
    <w:p>
      <w:pPr>
        <w:adjustRightInd w:val="0"/>
        <w:snapToGrid w:val="0"/>
        <w:jc w:val="center"/>
        <w:rPr>
          <w:rFonts w:hint="eastAsia" w:ascii="Times New Roman" w:hAnsi="Times New Roman" w:eastAsia="方正小标宋_GBK"/>
          <w:sz w:val="44"/>
          <w:szCs w:val="36"/>
        </w:rPr>
      </w:pPr>
    </w:p>
    <w:tbl>
      <w:tblPr>
        <w:tblStyle w:val="5"/>
        <w:tblW w:w="8784" w:type="dxa"/>
        <w:tblInd w:w="0" w:type="dxa"/>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autofit"/>
        <w:tblCellMar>
          <w:top w:w="0" w:type="dxa"/>
          <w:left w:w="108" w:type="dxa"/>
          <w:bottom w:w="0" w:type="dxa"/>
          <w:right w:w="108" w:type="dxa"/>
        </w:tblCellMar>
      </w:tblPr>
      <w:tblGrid>
        <w:gridCol w:w="2047"/>
        <w:gridCol w:w="2371"/>
        <w:gridCol w:w="2236"/>
        <w:gridCol w:w="2130"/>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555" w:hRule="atLeast"/>
          <w:tblHeader/>
        </w:trPr>
        <w:tc>
          <w:tcPr>
            <w:tcW w:w="2047" w:type="dxa"/>
            <w:tcBorders>
              <w:bottom w:val="single" w:color="auto" w:sz="4" w:space="0"/>
              <w:right w:val="single" w:color="auto" w:sz="4" w:space="0"/>
            </w:tcBorders>
            <w:shd w:val="clear" w:color="auto" w:fill="auto"/>
            <w:vAlign w:val="center"/>
          </w:tcPr>
          <w:p>
            <w:pPr>
              <w:widowControl/>
              <w:jc w:val="center"/>
              <w:rPr>
                <w:rFonts w:hint="default" w:ascii="Times New Roman" w:hAnsi="Times New Roman" w:eastAsia="方正黑体_GBK" w:cs="Times New Roman"/>
                <w:color w:val="000000"/>
                <w:kern w:val="0"/>
                <w:sz w:val="28"/>
                <w:szCs w:val="28"/>
              </w:rPr>
            </w:pPr>
            <w:r>
              <w:rPr>
                <w:rFonts w:hint="default" w:ascii="Times New Roman" w:hAnsi="Times New Roman" w:eastAsia="方正黑体_GBK" w:cs="Times New Roman"/>
                <w:color w:val="000000"/>
                <w:kern w:val="0"/>
                <w:sz w:val="28"/>
                <w:szCs w:val="28"/>
              </w:rPr>
              <w:t>项目编号</w:t>
            </w:r>
          </w:p>
        </w:tc>
        <w:tc>
          <w:tcPr>
            <w:tcW w:w="2371" w:type="dxa"/>
            <w:tcBorders>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方正黑体_GBK" w:cs="Times New Roman"/>
                <w:color w:val="000000"/>
                <w:kern w:val="0"/>
                <w:sz w:val="28"/>
                <w:szCs w:val="28"/>
              </w:rPr>
            </w:pPr>
            <w:r>
              <w:rPr>
                <w:rFonts w:hint="default" w:ascii="Times New Roman" w:hAnsi="Times New Roman" w:eastAsia="方正黑体_GBK" w:cs="Times New Roman"/>
                <w:color w:val="000000"/>
                <w:kern w:val="0"/>
                <w:sz w:val="28"/>
                <w:szCs w:val="28"/>
              </w:rPr>
              <w:t>项目名称</w:t>
            </w:r>
          </w:p>
        </w:tc>
        <w:tc>
          <w:tcPr>
            <w:tcW w:w="2236" w:type="dxa"/>
            <w:tcBorders>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方正黑体_GBK" w:cs="Times New Roman"/>
                <w:color w:val="000000"/>
                <w:kern w:val="0"/>
                <w:sz w:val="28"/>
                <w:szCs w:val="28"/>
              </w:rPr>
            </w:pPr>
            <w:r>
              <w:rPr>
                <w:rFonts w:hint="default" w:ascii="Times New Roman" w:hAnsi="Times New Roman" w:eastAsia="方正黑体_GBK" w:cs="Times New Roman"/>
                <w:color w:val="000000"/>
                <w:kern w:val="0"/>
                <w:sz w:val="28"/>
                <w:szCs w:val="28"/>
              </w:rPr>
              <w:t>承担单位</w:t>
            </w:r>
          </w:p>
        </w:tc>
        <w:tc>
          <w:tcPr>
            <w:tcW w:w="2130" w:type="dxa"/>
            <w:tcBorders>
              <w:left w:val="nil"/>
              <w:bottom w:val="single" w:color="auto" w:sz="4" w:space="0"/>
            </w:tcBorders>
          </w:tcPr>
          <w:p>
            <w:pPr>
              <w:widowControl/>
              <w:jc w:val="center"/>
              <w:rPr>
                <w:rFonts w:hint="default" w:ascii="Times New Roman" w:hAnsi="Times New Roman" w:eastAsia="方正黑体_GBK" w:cs="Times New Roman"/>
                <w:color w:val="000000"/>
                <w:kern w:val="0"/>
                <w:sz w:val="28"/>
                <w:szCs w:val="28"/>
              </w:rPr>
            </w:pPr>
            <w:r>
              <w:rPr>
                <w:rFonts w:hint="default" w:ascii="Times New Roman" w:hAnsi="Times New Roman" w:eastAsia="方正黑体_GBK" w:cs="Times New Roman"/>
                <w:color w:val="000000"/>
                <w:kern w:val="0"/>
                <w:sz w:val="28"/>
                <w:szCs w:val="28"/>
              </w:rPr>
              <w:t>验收结果</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828" w:hRule="atLeast"/>
        </w:trPr>
        <w:tc>
          <w:tcPr>
            <w:tcW w:w="2047" w:type="dxa"/>
            <w:tcBorders>
              <w:top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CQIPOS20220006</w:t>
            </w:r>
          </w:p>
        </w:tc>
        <w:tc>
          <w:tcPr>
            <w:tcW w:w="2371"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半导体蚀刻液知识产权风险预警及纠纷处置项目</w:t>
            </w:r>
          </w:p>
        </w:tc>
        <w:tc>
          <w:tcPr>
            <w:tcW w:w="2236"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重庆臻宝实业有限公司</w:t>
            </w:r>
          </w:p>
        </w:tc>
        <w:tc>
          <w:tcPr>
            <w:tcW w:w="2130" w:type="dxa"/>
            <w:tcBorders>
              <w:top w:val="nil"/>
              <w:left w:val="nil"/>
              <w:bottom w:val="single" w:color="auto" w:sz="4" w:space="0"/>
            </w:tcBorders>
            <w:shd w:val="clear" w:color="000000" w:fill="FFFFFF"/>
            <w:vAlign w:val="center"/>
          </w:tcPr>
          <w:p>
            <w:pPr>
              <w:spacing w:line="400" w:lineRule="exact"/>
              <w:jc w:val="center"/>
              <w:rPr>
                <w:rFonts w:hint="default" w:ascii="Times New Roman" w:hAnsi="Times New Roman" w:cs="Times New Roman"/>
                <w:sz w:val="20"/>
                <w:szCs w:val="20"/>
              </w:rPr>
            </w:pPr>
            <w:r>
              <w:rPr>
                <w:rFonts w:hint="default" w:ascii="Times New Roman" w:hAnsi="Times New Roman" w:eastAsia="方正仿宋_GBK" w:cs="Times New Roman"/>
                <w:color w:val="000000"/>
                <w:kern w:val="0"/>
                <w:sz w:val="20"/>
                <w:szCs w:val="20"/>
              </w:rPr>
              <w:t>通过验收</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828" w:hRule="atLeast"/>
        </w:trPr>
        <w:tc>
          <w:tcPr>
            <w:tcW w:w="2047" w:type="dxa"/>
            <w:tcBorders>
              <w:top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CQIPOS20220007</w:t>
            </w:r>
          </w:p>
        </w:tc>
        <w:tc>
          <w:tcPr>
            <w:tcW w:w="2371"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超高模量玻璃纤维专利风险预警</w:t>
            </w:r>
          </w:p>
        </w:tc>
        <w:tc>
          <w:tcPr>
            <w:tcW w:w="2236"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重庆国际复合材料股份有限公司</w:t>
            </w:r>
          </w:p>
        </w:tc>
        <w:tc>
          <w:tcPr>
            <w:tcW w:w="2130" w:type="dxa"/>
            <w:tcBorders>
              <w:top w:val="nil"/>
              <w:left w:val="nil"/>
              <w:bottom w:val="single" w:color="auto" w:sz="4" w:space="0"/>
            </w:tcBorders>
            <w:shd w:val="clear" w:color="000000" w:fill="FFFFFF"/>
            <w:vAlign w:val="center"/>
          </w:tcPr>
          <w:p>
            <w:pPr>
              <w:spacing w:line="400" w:lineRule="exact"/>
              <w:jc w:val="center"/>
              <w:rPr>
                <w:rFonts w:hint="default" w:ascii="Times New Roman" w:hAnsi="Times New Roman" w:cs="Times New Roman"/>
                <w:sz w:val="20"/>
                <w:szCs w:val="20"/>
              </w:rPr>
            </w:pPr>
            <w:r>
              <w:rPr>
                <w:rFonts w:hint="default" w:ascii="Times New Roman" w:hAnsi="Times New Roman" w:eastAsia="方正仿宋_GBK" w:cs="Times New Roman"/>
                <w:color w:val="000000"/>
                <w:kern w:val="0"/>
                <w:sz w:val="20"/>
                <w:szCs w:val="20"/>
              </w:rPr>
              <w:t>通过验收</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828" w:hRule="atLeast"/>
        </w:trPr>
        <w:tc>
          <w:tcPr>
            <w:tcW w:w="2047" w:type="dxa"/>
            <w:tcBorders>
              <w:top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CQIPOS20220008</w:t>
            </w:r>
          </w:p>
        </w:tc>
        <w:tc>
          <w:tcPr>
            <w:tcW w:w="2371"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英卡电子知识产权风险预警项目</w:t>
            </w:r>
          </w:p>
        </w:tc>
        <w:tc>
          <w:tcPr>
            <w:tcW w:w="2236"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重庆英卡电子有限公司</w:t>
            </w:r>
          </w:p>
        </w:tc>
        <w:tc>
          <w:tcPr>
            <w:tcW w:w="2130" w:type="dxa"/>
            <w:tcBorders>
              <w:top w:val="nil"/>
              <w:left w:val="nil"/>
              <w:bottom w:val="single" w:color="auto" w:sz="4" w:space="0"/>
            </w:tcBorders>
            <w:shd w:val="clear" w:color="000000" w:fill="FFFFFF"/>
            <w:vAlign w:val="center"/>
          </w:tcPr>
          <w:p>
            <w:pPr>
              <w:spacing w:line="400" w:lineRule="exact"/>
              <w:jc w:val="center"/>
              <w:rPr>
                <w:rFonts w:hint="default" w:ascii="Times New Roman" w:hAnsi="Times New Roman" w:cs="Times New Roman"/>
                <w:sz w:val="20"/>
                <w:szCs w:val="20"/>
              </w:rPr>
            </w:pPr>
            <w:r>
              <w:rPr>
                <w:rFonts w:hint="default" w:ascii="Times New Roman" w:hAnsi="Times New Roman" w:eastAsia="方正仿宋_GBK" w:cs="Times New Roman"/>
                <w:color w:val="000000"/>
                <w:kern w:val="0"/>
                <w:sz w:val="20"/>
                <w:szCs w:val="20"/>
              </w:rPr>
              <w:t>通过验收</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828" w:hRule="atLeast"/>
        </w:trPr>
        <w:tc>
          <w:tcPr>
            <w:tcW w:w="2047" w:type="dxa"/>
            <w:tcBorders>
              <w:top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CQIPOS20220009</w:t>
            </w:r>
          </w:p>
        </w:tc>
        <w:tc>
          <w:tcPr>
            <w:tcW w:w="2371"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重庆市重点品牌海外风险预警项目</w:t>
            </w:r>
          </w:p>
        </w:tc>
        <w:tc>
          <w:tcPr>
            <w:tcW w:w="2236"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重庆超凡知识产权代理有限公司</w:t>
            </w:r>
          </w:p>
        </w:tc>
        <w:tc>
          <w:tcPr>
            <w:tcW w:w="2130" w:type="dxa"/>
            <w:tcBorders>
              <w:top w:val="nil"/>
              <w:left w:val="nil"/>
              <w:bottom w:val="single" w:color="auto" w:sz="4" w:space="0"/>
            </w:tcBorders>
            <w:shd w:val="clear" w:color="000000" w:fill="FFFFFF"/>
            <w:vAlign w:val="center"/>
          </w:tcPr>
          <w:p>
            <w:pPr>
              <w:spacing w:line="400" w:lineRule="exact"/>
              <w:jc w:val="center"/>
              <w:rPr>
                <w:rFonts w:hint="default" w:ascii="Times New Roman" w:hAnsi="Times New Roman" w:cs="Times New Roman"/>
                <w:sz w:val="20"/>
                <w:szCs w:val="20"/>
              </w:rPr>
            </w:pPr>
            <w:r>
              <w:rPr>
                <w:rFonts w:hint="default" w:ascii="Times New Roman" w:hAnsi="Times New Roman" w:eastAsia="方正仿宋_GBK" w:cs="Times New Roman"/>
                <w:color w:val="000000"/>
                <w:kern w:val="0"/>
                <w:sz w:val="20"/>
                <w:szCs w:val="20"/>
              </w:rPr>
              <w:t>通过验收</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828" w:hRule="atLeast"/>
        </w:trPr>
        <w:tc>
          <w:tcPr>
            <w:tcW w:w="2047" w:type="dxa"/>
            <w:tcBorders>
              <w:top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CQIPOS202200010</w:t>
            </w:r>
          </w:p>
        </w:tc>
        <w:tc>
          <w:tcPr>
            <w:tcW w:w="2371"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加氢站领域知识产权风险预测预警研究</w:t>
            </w:r>
          </w:p>
        </w:tc>
        <w:tc>
          <w:tcPr>
            <w:tcW w:w="2236"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重庆大学</w:t>
            </w:r>
          </w:p>
        </w:tc>
        <w:tc>
          <w:tcPr>
            <w:tcW w:w="2130" w:type="dxa"/>
            <w:tcBorders>
              <w:top w:val="nil"/>
              <w:left w:val="nil"/>
              <w:bottom w:val="single" w:color="auto" w:sz="4" w:space="0"/>
            </w:tcBorders>
            <w:shd w:val="clear" w:color="000000" w:fill="FFFFFF"/>
            <w:vAlign w:val="center"/>
          </w:tcPr>
          <w:p>
            <w:pPr>
              <w:spacing w:line="400" w:lineRule="exact"/>
              <w:jc w:val="center"/>
              <w:rPr>
                <w:rFonts w:hint="default" w:ascii="Times New Roman" w:hAnsi="Times New Roman" w:cs="Times New Roman"/>
                <w:sz w:val="20"/>
                <w:szCs w:val="20"/>
              </w:rPr>
            </w:pPr>
            <w:r>
              <w:rPr>
                <w:rFonts w:hint="default" w:ascii="Times New Roman" w:hAnsi="Times New Roman" w:eastAsia="方正仿宋_GBK" w:cs="Times New Roman"/>
                <w:color w:val="000000"/>
                <w:kern w:val="0"/>
                <w:sz w:val="20"/>
                <w:szCs w:val="20"/>
              </w:rPr>
              <w:t>通过验收</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552" w:hRule="atLeast"/>
        </w:trPr>
        <w:tc>
          <w:tcPr>
            <w:tcW w:w="2047" w:type="dxa"/>
            <w:tcBorders>
              <w:top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CQIPOS202200011</w:t>
            </w:r>
          </w:p>
        </w:tc>
        <w:tc>
          <w:tcPr>
            <w:tcW w:w="2371"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长安汽车海外知识产权布局规划预测预警分析</w:t>
            </w:r>
          </w:p>
        </w:tc>
        <w:tc>
          <w:tcPr>
            <w:tcW w:w="2236"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重庆长安汽车股份有限公司</w:t>
            </w:r>
          </w:p>
        </w:tc>
        <w:tc>
          <w:tcPr>
            <w:tcW w:w="2130" w:type="dxa"/>
            <w:tcBorders>
              <w:top w:val="nil"/>
              <w:left w:val="nil"/>
              <w:bottom w:val="single" w:color="auto" w:sz="4" w:space="0"/>
            </w:tcBorders>
            <w:shd w:val="clear" w:color="000000" w:fill="FFFFFF"/>
            <w:vAlign w:val="center"/>
          </w:tcPr>
          <w:p>
            <w:pPr>
              <w:spacing w:line="400" w:lineRule="exact"/>
              <w:jc w:val="center"/>
              <w:rPr>
                <w:rFonts w:hint="default" w:ascii="Times New Roman" w:hAnsi="Times New Roman" w:cs="Times New Roman"/>
                <w:sz w:val="20"/>
                <w:szCs w:val="20"/>
              </w:rPr>
            </w:pPr>
            <w:r>
              <w:rPr>
                <w:rFonts w:hint="default" w:ascii="Times New Roman" w:hAnsi="Times New Roman" w:eastAsia="方正仿宋_GBK" w:cs="Times New Roman"/>
                <w:color w:val="000000"/>
                <w:kern w:val="0"/>
                <w:sz w:val="20"/>
                <w:szCs w:val="20"/>
              </w:rPr>
              <w:t>通过验收</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828" w:hRule="atLeast"/>
        </w:trPr>
        <w:tc>
          <w:tcPr>
            <w:tcW w:w="2047" w:type="dxa"/>
            <w:tcBorders>
              <w:top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CQIPOS202200012</w:t>
            </w:r>
          </w:p>
        </w:tc>
        <w:tc>
          <w:tcPr>
            <w:tcW w:w="2371"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重庆市物联网产业关键环节海外知识产权预测预警研究</w:t>
            </w:r>
          </w:p>
        </w:tc>
        <w:tc>
          <w:tcPr>
            <w:tcW w:w="2236"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重庆信息通信研究院</w:t>
            </w:r>
          </w:p>
        </w:tc>
        <w:tc>
          <w:tcPr>
            <w:tcW w:w="2130" w:type="dxa"/>
            <w:tcBorders>
              <w:top w:val="nil"/>
              <w:left w:val="nil"/>
              <w:bottom w:val="single" w:color="auto" w:sz="4" w:space="0"/>
            </w:tcBorders>
            <w:shd w:val="clear" w:color="000000" w:fill="FFFFFF"/>
            <w:vAlign w:val="center"/>
          </w:tcPr>
          <w:p>
            <w:pPr>
              <w:spacing w:line="400" w:lineRule="exact"/>
              <w:jc w:val="center"/>
              <w:rPr>
                <w:rFonts w:hint="default" w:ascii="Times New Roman" w:hAnsi="Times New Roman" w:cs="Times New Roman"/>
                <w:sz w:val="20"/>
                <w:szCs w:val="20"/>
              </w:rPr>
            </w:pPr>
            <w:r>
              <w:rPr>
                <w:rFonts w:hint="default" w:ascii="Times New Roman" w:hAnsi="Times New Roman" w:eastAsia="方正仿宋_GBK" w:cs="Times New Roman"/>
                <w:color w:val="000000"/>
                <w:kern w:val="0"/>
                <w:sz w:val="20"/>
                <w:szCs w:val="20"/>
              </w:rPr>
              <w:t>通过验收</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828" w:hRule="atLeast"/>
        </w:trPr>
        <w:tc>
          <w:tcPr>
            <w:tcW w:w="2047" w:type="dxa"/>
            <w:tcBorders>
              <w:top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CQIPOS202200013</w:t>
            </w:r>
          </w:p>
        </w:tc>
        <w:tc>
          <w:tcPr>
            <w:tcW w:w="2371"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核电温度传感器知识产权风险预警</w:t>
            </w:r>
          </w:p>
        </w:tc>
        <w:tc>
          <w:tcPr>
            <w:tcW w:w="2236"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重庆材料研究院有限公司</w:t>
            </w:r>
          </w:p>
        </w:tc>
        <w:tc>
          <w:tcPr>
            <w:tcW w:w="2130" w:type="dxa"/>
            <w:tcBorders>
              <w:top w:val="nil"/>
              <w:left w:val="nil"/>
              <w:bottom w:val="single" w:color="auto" w:sz="4" w:space="0"/>
            </w:tcBorders>
            <w:shd w:val="clear" w:color="000000" w:fill="FFFFFF"/>
            <w:vAlign w:val="center"/>
          </w:tcPr>
          <w:p>
            <w:pPr>
              <w:spacing w:line="400" w:lineRule="exact"/>
              <w:jc w:val="center"/>
              <w:rPr>
                <w:rFonts w:hint="default" w:ascii="Times New Roman" w:hAnsi="Times New Roman" w:cs="Times New Roman"/>
                <w:sz w:val="20"/>
                <w:szCs w:val="20"/>
              </w:rPr>
            </w:pPr>
            <w:r>
              <w:rPr>
                <w:rFonts w:hint="default" w:ascii="Times New Roman" w:hAnsi="Times New Roman" w:eastAsia="方正仿宋_GBK" w:cs="Times New Roman"/>
                <w:color w:val="000000"/>
                <w:kern w:val="0"/>
                <w:sz w:val="20"/>
                <w:szCs w:val="20"/>
              </w:rPr>
              <w:t>通过验收</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828" w:hRule="atLeast"/>
        </w:trPr>
        <w:tc>
          <w:tcPr>
            <w:tcW w:w="2047" w:type="dxa"/>
            <w:tcBorders>
              <w:top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CQIPOS202200014</w:t>
            </w:r>
          </w:p>
        </w:tc>
        <w:tc>
          <w:tcPr>
            <w:tcW w:w="2371"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“胖子”品牌风险预测预警项目</w:t>
            </w:r>
          </w:p>
        </w:tc>
        <w:tc>
          <w:tcPr>
            <w:tcW w:w="2236"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重庆胖子天骄融兴食品有限责任公司</w:t>
            </w:r>
          </w:p>
        </w:tc>
        <w:tc>
          <w:tcPr>
            <w:tcW w:w="2130" w:type="dxa"/>
            <w:tcBorders>
              <w:top w:val="nil"/>
              <w:left w:val="nil"/>
              <w:bottom w:val="single" w:color="auto" w:sz="4" w:space="0"/>
            </w:tcBorders>
            <w:shd w:val="clear" w:color="000000" w:fill="FFFFFF"/>
            <w:vAlign w:val="center"/>
          </w:tcPr>
          <w:p>
            <w:pPr>
              <w:spacing w:line="400" w:lineRule="exact"/>
              <w:jc w:val="center"/>
              <w:rPr>
                <w:rFonts w:hint="default" w:ascii="Times New Roman" w:hAnsi="Times New Roman" w:cs="Times New Roman"/>
                <w:sz w:val="20"/>
                <w:szCs w:val="20"/>
              </w:rPr>
            </w:pPr>
            <w:r>
              <w:rPr>
                <w:rFonts w:hint="default" w:ascii="Times New Roman" w:hAnsi="Times New Roman" w:eastAsia="方正仿宋_GBK" w:cs="Times New Roman"/>
                <w:color w:val="000000"/>
                <w:kern w:val="0"/>
                <w:sz w:val="20"/>
                <w:szCs w:val="20"/>
              </w:rPr>
              <w:t>通过验收</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1104" w:hRule="atLeast"/>
        </w:trPr>
        <w:tc>
          <w:tcPr>
            <w:tcW w:w="2047" w:type="dxa"/>
            <w:tcBorders>
              <w:top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CQIPOS202200015</w:t>
            </w:r>
          </w:p>
        </w:tc>
        <w:tc>
          <w:tcPr>
            <w:tcW w:w="2371"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中高端汽车用高强钢及铝合金材料成形工艺和模具技术知识产权风险预警</w:t>
            </w:r>
          </w:p>
        </w:tc>
        <w:tc>
          <w:tcPr>
            <w:tcW w:w="2236"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重庆平伟汽车科技股份有限公司</w:t>
            </w:r>
          </w:p>
        </w:tc>
        <w:tc>
          <w:tcPr>
            <w:tcW w:w="2130" w:type="dxa"/>
            <w:tcBorders>
              <w:top w:val="nil"/>
              <w:left w:val="nil"/>
              <w:bottom w:val="single" w:color="auto" w:sz="4" w:space="0"/>
            </w:tcBorders>
            <w:shd w:val="clear" w:color="000000" w:fill="FFFFFF"/>
            <w:vAlign w:val="center"/>
          </w:tcPr>
          <w:p>
            <w:pPr>
              <w:spacing w:line="400" w:lineRule="exact"/>
              <w:jc w:val="center"/>
              <w:rPr>
                <w:rFonts w:hint="default" w:ascii="Times New Roman" w:hAnsi="Times New Roman" w:cs="Times New Roman"/>
                <w:sz w:val="20"/>
                <w:szCs w:val="20"/>
              </w:rPr>
            </w:pPr>
            <w:r>
              <w:rPr>
                <w:rFonts w:hint="default" w:ascii="Times New Roman" w:hAnsi="Times New Roman" w:eastAsia="方正仿宋_GBK" w:cs="Times New Roman"/>
                <w:color w:val="000000"/>
                <w:kern w:val="0"/>
                <w:sz w:val="20"/>
                <w:szCs w:val="20"/>
              </w:rPr>
              <w:t>通过验收</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828" w:hRule="atLeast"/>
        </w:trPr>
        <w:tc>
          <w:tcPr>
            <w:tcW w:w="2047" w:type="dxa"/>
            <w:tcBorders>
              <w:top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CQIPOS202200016</w:t>
            </w:r>
          </w:p>
        </w:tc>
        <w:tc>
          <w:tcPr>
            <w:tcW w:w="2371"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“无级有道”摩托车知识产权风险预测预警</w:t>
            </w:r>
          </w:p>
        </w:tc>
        <w:tc>
          <w:tcPr>
            <w:tcW w:w="2236"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重庆市宏立摩托车制造有限公司</w:t>
            </w:r>
          </w:p>
        </w:tc>
        <w:tc>
          <w:tcPr>
            <w:tcW w:w="2130" w:type="dxa"/>
            <w:tcBorders>
              <w:top w:val="nil"/>
              <w:left w:val="nil"/>
              <w:bottom w:val="single" w:color="auto" w:sz="4" w:space="0"/>
            </w:tcBorders>
            <w:shd w:val="clear" w:color="000000" w:fill="FFFFFF"/>
            <w:vAlign w:val="center"/>
          </w:tcPr>
          <w:p>
            <w:pPr>
              <w:spacing w:line="400" w:lineRule="exact"/>
              <w:jc w:val="center"/>
              <w:rPr>
                <w:rFonts w:hint="default" w:ascii="Times New Roman" w:hAnsi="Times New Roman" w:cs="Times New Roman"/>
                <w:sz w:val="20"/>
                <w:szCs w:val="20"/>
              </w:rPr>
            </w:pPr>
            <w:r>
              <w:rPr>
                <w:rFonts w:hint="default" w:ascii="Times New Roman" w:hAnsi="Times New Roman" w:eastAsia="方正仿宋_GBK" w:cs="Times New Roman"/>
                <w:color w:val="000000"/>
                <w:kern w:val="0"/>
                <w:sz w:val="20"/>
                <w:szCs w:val="20"/>
              </w:rPr>
              <w:t>通过验收</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828" w:hRule="atLeast"/>
        </w:trPr>
        <w:tc>
          <w:tcPr>
            <w:tcW w:w="2047" w:type="dxa"/>
            <w:tcBorders>
              <w:top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CQIPOS202200017</w:t>
            </w:r>
          </w:p>
        </w:tc>
        <w:tc>
          <w:tcPr>
            <w:tcW w:w="2371"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“秦妈”火锅涉外商标风险预测预警</w:t>
            </w:r>
          </w:p>
        </w:tc>
        <w:tc>
          <w:tcPr>
            <w:tcW w:w="2236"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重庆秦妈食品有限公司</w:t>
            </w:r>
          </w:p>
        </w:tc>
        <w:tc>
          <w:tcPr>
            <w:tcW w:w="2130" w:type="dxa"/>
            <w:tcBorders>
              <w:top w:val="nil"/>
              <w:left w:val="nil"/>
              <w:bottom w:val="single" w:color="auto" w:sz="4" w:space="0"/>
            </w:tcBorders>
            <w:shd w:val="clear" w:color="000000" w:fill="FFFFFF"/>
            <w:vAlign w:val="center"/>
          </w:tcPr>
          <w:p>
            <w:pPr>
              <w:spacing w:line="400" w:lineRule="exact"/>
              <w:jc w:val="center"/>
              <w:rPr>
                <w:rFonts w:hint="default" w:ascii="Times New Roman" w:hAnsi="Times New Roman" w:cs="Times New Roman"/>
                <w:sz w:val="20"/>
                <w:szCs w:val="20"/>
              </w:rPr>
            </w:pPr>
            <w:r>
              <w:rPr>
                <w:rFonts w:hint="default" w:ascii="Times New Roman" w:hAnsi="Times New Roman" w:eastAsia="方正仿宋_GBK" w:cs="Times New Roman"/>
                <w:color w:val="000000"/>
                <w:kern w:val="0"/>
                <w:sz w:val="20"/>
                <w:szCs w:val="20"/>
              </w:rPr>
              <w:t>通过验收</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1104" w:hRule="atLeast"/>
        </w:trPr>
        <w:tc>
          <w:tcPr>
            <w:tcW w:w="2047" w:type="dxa"/>
            <w:tcBorders>
              <w:top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CQIPOS202200018</w:t>
            </w:r>
          </w:p>
        </w:tc>
        <w:tc>
          <w:tcPr>
            <w:tcW w:w="2371"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掌式脉搏血氧仪知识产权风险预测预警分析</w:t>
            </w:r>
          </w:p>
        </w:tc>
        <w:tc>
          <w:tcPr>
            <w:tcW w:w="2236"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重庆如泰科技股份有限公司</w:t>
            </w:r>
          </w:p>
        </w:tc>
        <w:tc>
          <w:tcPr>
            <w:tcW w:w="2130" w:type="dxa"/>
            <w:tcBorders>
              <w:top w:val="nil"/>
              <w:left w:val="nil"/>
              <w:bottom w:val="single" w:color="auto" w:sz="4" w:space="0"/>
            </w:tcBorders>
            <w:shd w:val="clear" w:color="000000" w:fill="FFFFFF"/>
            <w:vAlign w:val="center"/>
          </w:tcPr>
          <w:p>
            <w:pPr>
              <w:spacing w:line="400" w:lineRule="exact"/>
              <w:jc w:val="center"/>
              <w:rPr>
                <w:rFonts w:hint="default" w:ascii="Times New Roman" w:hAnsi="Times New Roman" w:cs="Times New Roman"/>
                <w:sz w:val="20"/>
                <w:szCs w:val="20"/>
              </w:rPr>
            </w:pPr>
            <w:r>
              <w:rPr>
                <w:rFonts w:hint="default" w:ascii="Times New Roman" w:hAnsi="Times New Roman" w:eastAsia="方正仿宋_GBK" w:cs="Times New Roman"/>
                <w:color w:val="000000"/>
                <w:kern w:val="0"/>
                <w:sz w:val="20"/>
                <w:szCs w:val="20"/>
              </w:rPr>
              <w:t>通过验收</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1104" w:hRule="atLeast"/>
        </w:trPr>
        <w:tc>
          <w:tcPr>
            <w:tcW w:w="2047" w:type="dxa"/>
            <w:tcBorders>
              <w:top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CQIPOS202200019</w:t>
            </w:r>
          </w:p>
        </w:tc>
        <w:tc>
          <w:tcPr>
            <w:tcW w:w="2371"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基于屏幕异常画面智能检测技术的知识产权风险防控</w:t>
            </w:r>
          </w:p>
        </w:tc>
        <w:tc>
          <w:tcPr>
            <w:tcW w:w="2236"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英业达（重庆）有限公司</w:t>
            </w:r>
          </w:p>
        </w:tc>
        <w:tc>
          <w:tcPr>
            <w:tcW w:w="2130" w:type="dxa"/>
            <w:tcBorders>
              <w:top w:val="nil"/>
              <w:left w:val="nil"/>
              <w:bottom w:val="single" w:color="auto" w:sz="4" w:space="0"/>
            </w:tcBorders>
            <w:shd w:val="clear" w:color="000000" w:fill="FFFFFF"/>
            <w:vAlign w:val="center"/>
          </w:tcPr>
          <w:p>
            <w:pPr>
              <w:spacing w:line="400" w:lineRule="exact"/>
              <w:jc w:val="center"/>
              <w:rPr>
                <w:rFonts w:hint="default" w:ascii="Times New Roman" w:hAnsi="Times New Roman" w:cs="Times New Roman"/>
                <w:sz w:val="20"/>
                <w:szCs w:val="20"/>
              </w:rPr>
            </w:pPr>
            <w:r>
              <w:rPr>
                <w:rFonts w:hint="default" w:ascii="Times New Roman" w:hAnsi="Times New Roman" w:eastAsia="方正仿宋_GBK" w:cs="Times New Roman"/>
                <w:color w:val="000000"/>
                <w:kern w:val="0"/>
                <w:sz w:val="20"/>
                <w:szCs w:val="20"/>
              </w:rPr>
              <w:t>通过验收</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552" w:hRule="atLeast"/>
        </w:trPr>
        <w:tc>
          <w:tcPr>
            <w:tcW w:w="2047" w:type="dxa"/>
            <w:tcBorders>
              <w:top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CQIPOS202200020</w:t>
            </w:r>
          </w:p>
        </w:tc>
        <w:tc>
          <w:tcPr>
            <w:tcW w:w="2371"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智能眼镜中美知识产权风险预测预警</w:t>
            </w:r>
          </w:p>
        </w:tc>
        <w:tc>
          <w:tcPr>
            <w:tcW w:w="2236"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重庆青尔科技有限公司</w:t>
            </w:r>
          </w:p>
        </w:tc>
        <w:tc>
          <w:tcPr>
            <w:tcW w:w="2130" w:type="dxa"/>
            <w:tcBorders>
              <w:top w:val="nil"/>
              <w:left w:val="nil"/>
              <w:bottom w:val="single" w:color="auto" w:sz="4" w:space="0"/>
            </w:tcBorders>
            <w:shd w:val="clear" w:color="000000" w:fill="FFFFFF"/>
            <w:vAlign w:val="center"/>
          </w:tcPr>
          <w:p>
            <w:pPr>
              <w:spacing w:line="400" w:lineRule="exact"/>
              <w:jc w:val="center"/>
              <w:rPr>
                <w:rFonts w:hint="default" w:ascii="Times New Roman" w:hAnsi="Times New Roman" w:cs="Times New Roman"/>
                <w:sz w:val="20"/>
                <w:szCs w:val="20"/>
              </w:rPr>
            </w:pPr>
            <w:r>
              <w:rPr>
                <w:rFonts w:hint="default" w:ascii="Times New Roman" w:hAnsi="Times New Roman" w:eastAsia="方正仿宋_GBK" w:cs="Times New Roman"/>
                <w:color w:val="000000"/>
                <w:kern w:val="0"/>
                <w:sz w:val="20"/>
                <w:szCs w:val="20"/>
              </w:rPr>
              <w:t>通过验收</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828" w:hRule="atLeast"/>
        </w:trPr>
        <w:tc>
          <w:tcPr>
            <w:tcW w:w="2047" w:type="dxa"/>
            <w:tcBorders>
              <w:top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CQIPOS202200021</w:t>
            </w:r>
          </w:p>
        </w:tc>
        <w:tc>
          <w:tcPr>
            <w:tcW w:w="2371"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高速列车刹车片用高品质电解铜粉专利风险预警</w:t>
            </w:r>
          </w:p>
        </w:tc>
        <w:tc>
          <w:tcPr>
            <w:tcW w:w="2236"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重庆有研重冶新材料有限公司</w:t>
            </w:r>
          </w:p>
        </w:tc>
        <w:tc>
          <w:tcPr>
            <w:tcW w:w="2130" w:type="dxa"/>
            <w:tcBorders>
              <w:top w:val="nil"/>
              <w:left w:val="nil"/>
              <w:bottom w:val="single" w:color="auto" w:sz="4" w:space="0"/>
            </w:tcBorders>
            <w:shd w:val="clear" w:color="000000" w:fill="FFFFFF"/>
            <w:vAlign w:val="center"/>
          </w:tcPr>
          <w:p>
            <w:pPr>
              <w:spacing w:line="400" w:lineRule="exact"/>
              <w:jc w:val="center"/>
              <w:rPr>
                <w:rFonts w:hint="default" w:ascii="Times New Roman" w:hAnsi="Times New Roman" w:cs="Times New Roman"/>
                <w:sz w:val="20"/>
                <w:szCs w:val="20"/>
              </w:rPr>
            </w:pPr>
            <w:r>
              <w:rPr>
                <w:rFonts w:hint="default" w:ascii="Times New Roman" w:hAnsi="Times New Roman" w:eastAsia="方正仿宋_GBK" w:cs="Times New Roman"/>
                <w:color w:val="000000"/>
                <w:kern w:val="0"/>
                <w:sz w:val="20"/>
                <w:szCs w:val="20"/>
              </w:rPr>
              <w:t>通过验收</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552" w:hRule="atLeast"/>
        </w:trPr>
        <w:tc>
          <w:tcPr>
            <w:tcW w:w="2047" w:type="dxa"/>
            <w:tcBorders>
              <w:top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CQIPOS202200022</w:t>
            </w:r>
          </w:p>
        </w:tc>
        <w:tc>
          <w:tcPr>
            <w:tcW w:w="2371"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重庆市化工企业涉外知识产权分析与预警</w:t>
            </w:r>
          </w:p>
        </w:tc>
        <w:tc>
          <w:tcPr>
            <w:tcW w:w="2236"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重庆邮电大学</w:t>
            </w:r>
          </w:p>
        </w:tc>
        <w:tc>
          <w:tcPr>
            <w:tcW w:w="2130" w:type="dxa"/>
            <w:tcBorders>
              <w:top w:val="nil"/>
              <w:left w:val="nil"/>
              <w:bottom w:val="single" w:color="auto" w:sz="4" w:space="0"/>
            </w:tcBorders>
            <w:shd w:val="clear" w:color="000000" w:fill="FFFFFF"/>
            <w:vAlign w:val="center"/>
          </w:tcPr>
          <w:p>
            <w:pPr>
              <w:spacing w:line="400" w:lineRule="exact"/>
              <w:jc w:val="center"/>
              <w:rPr>
                <w:rFonts w:hint="default" w:ascii="Times New Roman" w:hAnsi="Times New Roman" w:cs="Times New Roman"/>
                <w:sz w:val="20"/>
                <w:szCs w:val="20"/>
              </w:rPr>
            </w:pPr>
            <w:r>
              <w:rPr>
                <w:rFonts w:hint="default" w:ascii="Times New Roman" w:hAnsi="Times New Roman" w:eastAsia="方正仿宋_GBK" w:cs="Times New Roman"/>
                <w:color w:val="000000"/>
                <w:kern w:val="0"/>
                <w:sz w:val="20"/>
                <w:szCs w:val="20"/>
              </w:rPr>
              <w:t>通过验收</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552" w:hRule="atLeast"/>
        </w:trPr>
        <w:tc>
          <w:tcPr>
            <w:tcW w:w="2047" w:type="dxa"/>
            <w:tcBorders>
              <w:top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CQIPOS202200023</w:t>
            </w:r>
          </w:p>
        </w:tc>
        <w:tc>
          <w:tcPr>
            <w:tcW w:w="2371"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空气消毒净化系统新加坡、日本专利风险预警</w:t>
            </w:r>
          </w:p>
        </w:tc>
        <w:tc>
          <w:tcPr>
            <w:tcW w:w="2236"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重庆长麟科技有限公司</w:t>
            </w:r>
          </w:p>
        </w:tc>
        <w:tc>
          <w:tcPr>
            <w:tcW w:w="2130" w:type="dxa"/>
            <w:tcBorders>
              <w:top w:val="nil"/>
              <w:left w:val="nil"/>
              <w:bottom w:val="single" w:color="auto" w:sz="4" w:space="0"/>
            </w:tcBorders>
            <w:shd w:val="clear" w:color="000000" w:fill="FFFFFF"/>
            <w:vAlign w:val="center"/>
          </w:tcPr>
          <w:p>
            <w:pPr>
              <w:spacing w:line="400" w:lineRule="exact"/>
              <w:jc w:val="center"/>
              <w:rPr>
                <w:rFonts w:hint="default" w:ascii="Times New Roman" w:hAnsi="Times New Roman" w:cs="Times New Roman"/>
                <w:sz w:val="20"/>
                <w:szCs w:val="20"/>
              </w:rPr>
            </w:pPr>
            <w:r>
              <w:rPr>
                <w:rFonts w:hint="default" w:ascii="Times New Roman" w:hAnsi="Times New Roman" w:eastAsia="方正仿宋_GBK" w:cs="Times New Roman"/>
                <w:color w:val="000000"/>
                <w:kern w:val="0"/>
                <w:sz w:val="20"/>
                <w:szCs w:val="20"/>
              </w:rPr>
              <w:t>通过验收</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828" w:hRule="atLeast"/>
        </w:trPr>
        <w:tc>
          <w:tcPr>
            <w:tcW w:w="2047" w:type="dxa"/>
            <w:tcBorders>
              <w:top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CQIPOS202200024</w:t>
            </w:r>
          </w:p>
        </w:tc>
        <w:tc>
          <w:tcPr>
            <w:tcW w:w="2371"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bookmarkStart w:id="0" w:name="_GoBack"/>
            <w:bookmarkEnd w:id="0"/>
            <w:r>
              <w:rPr>
                <w:rFonts w:hint="default" w:ascii="Times New Roman" w:hAnsi="Times New Roman" w:eastAsia="方正仿宋_GBK" w:cs="Times New Roman"/>
                <w:color w:val="000000"/>
                <w:kern w:val="0"/>
                <w:sz w:val="20"/>
                <w:szCs w:val="20"/>
              </w:rPr>
              <w:t>知识产权预警及纠纷处置项目</w:t>
            </w:r>
          </w:p>
        </w:tc>
        <w:tc>
          <w:tcPr>
            <w:tcW w:w="2236"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重庆华世丹机械制造有限公司</w:t>
            </w:r>
          </w:p>
        </w:tc>
        <w:tc>
          <w:tcPr>
            <w:tcW w:w="2130" w:type="dxa"/>
            <w:tcBorders>
              <w:top w:val="nil"/>
              <w:left w:val="nil"/>
              <w:bottom w:val="single" w:color="auto" w:sz="4" w:space="0"/>
            </w:tcBorders>
            <w:shd w:val="clear" w:color="000000" w:fill="FFFFFF"/>
            <w:vAlign w:val="center"/>
          </w:tcPr>
          <w:p>
            <w:pPr>
              <w:spacing w:line="400" w:lineRule="exact"/>
              <w:jc w:val="center"/>
              <w:rPr>
                <w:rFonts w:hint="default" w:ascii="Times New Roman" w:hAnsi="Times New Roman" w:cs="Times New Roman"/>
                <w:sz w:val="20"/>
                <w:szCs w:val="20"/>
              </w:rPr>
            </w:pPr>
            <w:r>
              <w:rPr>
                <w:rFonts w:hint="default" w:ascii="Times New Roman" w:hAnsi="Times New Roman" w:eastAsia="方正仿宋_GBK" w:cs="Times New Roman"/>
                <w:color w:val="000000"/>
                <w:kern w:val="0"/>
                <w:sz w:val="20"/>
                <w:szCs w:val="20"/>
              </w:rPr>
              <w:t>通过验收</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552" w:hRule="atLeast"/>
        </w:trPr>
        <w:tc>
          <w:tcPr>
            <w:tcW w:w="2047" w:type="dxa"/>
            <w:tcBorders>
              <w:top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CQIPOS202200025</w:t>
            </w:r>
          </w:p>
        </w:tc>
        <w:tc>
          <w:tcPr>
            <w:tcW w:w="2371"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曲轴箱体专利风险预测预警项目</w:t>
            </w:r>
          </w:p>
        </w:tc>
        <w:tc>
          <w:tcPr>
            <w:tcW w:w="2236"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重庆川普机械有限公司</w:t>
            </w:r>
          </w:p>
        </w:tc>
        <w:tc>
          <w:tcPr>
            <w:tcW w:w="2130" w:type="dxa"/>
            <w:tcBorders>
              <w:top w:val="nil"/>
              <w:left w:val="nil"/>
              <w:bottom w:val="single" w:color="auto" w:sz="4" w:space="0"/>
            </w:tcBorders>
            <w:shd w:val="clear" w:color="000000" w:fill="FFFFFF"/>
            <w:vAlign w:val="center"/>
          </w:tcPr>
          <w:p>
            <w:pPr>
              <w:spacing w:line="400" w:lineRule="exact"/>
              <w:jc w:val="center"/>
              <w:rPr>
                <w:rFonts w:hint="default" w:ascii="Times New Roman" w:hAnsi="Times New Roman" w:cs="Times New Roman"/>
                <w:sz w:val="20"/>
                <w:szCs w:val="20"/>
              </w:rPr>
            </w:pPr>
            <w:r>
              <w:rPr>
                <w:rFonts w:hint="default" w:ascii="Times New Roman" w:hAnsi="Times New Roman" w:eastAsia="方正仿宋_GBK" w:cs="Times New Roman"/>
                <w:color w:val="000000"/>
                <w:kern w:val="0"/>
                <w:sz w:val="20"/>
                <w:szCs w:val="20"/>
              </w:rPr>
              <w:t>通过验收</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1104" w:hRule="atLeast"/>
        </w:trPr>
        <w:tc>
          <w:tcPr>
            <w:tcW w:w="2047" w:type="dxa"/>
            <w:tcBorders>
              <w:top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CQIPOS202200026</w:t>
            </w:r>
          </w:p>
        </w:tc>
        <w:tc>
          <w:tcPr>
            <w:tcW w:w="2371"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“羊包虫病基因工程亚单位疫苗”专利风险排查报告</w:t>
            </w:r>
          </w:p>
        </w:tc>
        <w:tc>
          <w:tcPr>
            <w:tcW w:w="2236"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重庆澳龙生物制品有限公司</w:t>
            </w:r>
          </w:p>
        </w:tc>
        <w:tc>
          <w:tcPr>
            <w:tcW w:w="2130" w:type="dxa"/>
            <w:tcBorders>
              <w:top w:val="nil"/>
              <w:left w:val="nil"/>
              <w:bottom w:val="single" w:color="auto" w:sz="4" w:space="0"/>
            </w:tcBorders>
            <w:shd w:val="clear" w:color="000000" w:fill="FFFFFF"/>
            <w:vAlign w:val="center"/>
          </w:tcPr>
          <w:p>
            <w:pPr>
              <w:spacing w:line="400" w:lineRule="exact"/>
              <w:jc w:val="center"/>
              <w:rPr>
                <w:rFonts w:hint="default" w:ascii="Times New Roman" w:hAnsi="Times New Roman" w:cs="Times New Roman"/>
                <w:sz w:val="20"/>
                <w:szCs w:val="20"/>
              </w:rPr>
            </w:pPr>
            <w:r>
              <w:rPr>
                <w:rFonts w:hint="default" w:ascii="Times New Roman" w:hAnsi="Times New Roman" w:eastAsia="方正仿宋_GBK" w:cs="Times New Roman"/>
                <w:color w:val="000000"/>
                <w:kern w:val="0"/>
                <w:sz w:val="20"/>
                <w:szCs w:val="20"/>
              </w:rPr>
              <w:t>通过验收</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828" w:hRule="atLeast"/>
        </w:trPr>
        <w:tc>
          <w:tcPr>
            <w:tcW w:w="2047" w:type="dxa"/>
            <w:tcBorders>
              <w:top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CQIPOS202200027</w:t>
            </w:r>
          </w:p>
        </w:tc>
        <w:tc>
          <w:tcPr>
            <w:tcW w:w="2371"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薄板坯连铸连轧知识产权风险预警项目</w:t>
            </w:r>
          </w:p>
        </w:tc>
        <w:tc>
          <w:tcPr>
            <w:tcW w:w="2236"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中冶赛迪工程技术股份有限公司</w:t>
            </w:r>
          </w:p>
        </w:tc>
        <w:tc>
          <w:tcPr>
            <w:tcW w:w="2130" w:type="dxa"/>
            <w:tcBorders>
              <w:top w:val="nil"/>
              <w:left w:val="nil"/>
              <w:bottom w:val="single" w:color="auto" w:sz="4" w:space="0"/>
            </w:tcBorders>
            <w:shd w:val="clear" w:color="000000" w:fill="FFFFFF"/>
            <w:vAlign w:val="center"/>
          </w:tcPr>
          <w:p>
            <w:pPr>
              <w:spacing w:line="400" w:lineRule="exact"/>
              <w:jc w:val="center"/>
              <w:rPr>
                <w:rFonts w:hint="default" w:ascii="Times New Roman" w:hAnsi="Times New Roman" w:cs="Times New Roman"/>
                <w:sz w:val="20"/>
                <w:szCs w:val="20"/>
              </w:rPr>
            </w:pPr>
            <w:r>
              <w:rPr>
                <w:rFonts w:hint="default" w:ascii="Times New Roman" w:hAnsi="Times New Roman" w:eastAsia="方正仿宋_GBK" w:cs="Times New Roman"/>
                <w:color w:val="000000"/>
                <w:kern w:val="0"/>
                <w:sz w:val="20"/>
                <w:szCs w:val="20"/>
              </w:rPr>
              <w:t>通过验收</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828" w:hRule="atLeast"/>
        </w:trPr>
        <w:tc>
          <w:tcPr>
            <w:tcW w:w="2047" w:type="dxa"/>
            <w:tcBorders>
              <w:top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CQIPOS202200028</w:t>
            </w:r>
          </w:p>
        </w:tc>
        <w:tc>
          <w:tcPr>
            <w:tcW w:w="2371"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陶瓷电热体在美国和欧盟的知识产权风险预警</w:t>
            </w:r>
          </w:p>
        </w:tc>
        <w:tc>
          <w:tcPr>
            <w:tcW w:w="2236"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重庆利迈科技有限公司</w:t>
            </w:r>
          </w:p>
        </w:tc>
        <w:tc>
          <w:tcPr>
            <w:tcW w:w="2130" w:type="dxa"/>
            <w:tcBorders>
              <w:top w:val="nil"/>
              <w:left w:val="nil"/>
              <w:bottom w:val="single" w:color="auto" w:sz="4" w:space="0"/>
            </w:tcBorders>
            <w:shd w:val="clear" w:color="000000" w:fill="FFFFFF"/>
            <w:vAlign w:val="center"/>
          </w:tcPr>
          <w:p>
            <w:pPr>
              <w:spacing w:line="400" w:lineRule="exact"/>
              <w:jc w:val="center"/>
              <w:rPr>
                <w:rFonts w:hint="default" w:ascii="Times New Roman" w:hAnsi="Times New Roman" w:cs="Times New Roman"/>
                <w:sz w:val="20"/>
                <w:szCs w:val="20"/>
              </w:rPr>
            </w:pPr>
            <w:r>
              <w:rPr>
                <w:rFonts w:hint="default" w:ascii="Times New Roman" w:hAnsi="Times New Roman" w:eastAsia="方正仿宋_GBK" w:cs="Times New Roman"/>
                <w:color w:val="000000"/>
                <w:kern w:val="0"/>
                <w:sz w:val="20"/>
                <w:szCs w:val="20"/>
              </w:rPr>
              <w:t>通过验收</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828" w:hRule="atLeast"/>
        </w:trPr>
        <w:tc>
          <w:tcPr>
            <w:tcW w:w="2047" w:type="dxa"/>
            <w:tcBorders>
              <w:top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CQIPOS202200029</w:t>
            </w:r>
          </w:p>
        </w:tc>
        <w:tc>
          <w:tcPr>
            <w:tcW w:w="2371"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便携式发电机组海外知识产权风险预测预警</w:t>
            </w:r>
          </w:p>
        </w:tc>
        <w:tc>
          <w:tcPr>
            <w:tcW w:w="2236"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重庆润通科技有限公司</w:t>
            </w:r>
          </w:p>
        </w:tc>
        <w:tc>
          <w:tcPr>
            <w:tcW w:w="2130" w:type="dxa"/>
            <w:tcBorders>
              <w:top w:val="nil"/>
              <w:left w:val="nil"/>
              <w:bottom w:val="single" w:color="auto" w:sz="4" w:space="0"/>
            </w:tcBorders>
            <w:shd w:val="clear" w:color="000000" w:fill="FFFFFF"/>
            <w:vAlign w:val="center"/>
          </w:tcPr>
          <w:p>
            <w:pPr>
              <w:spacing w:line="400" w:lineRule="exact"/>
              <w:jc w:val="center"/>
              <w:rPr>
                <w:rFonts w:hint="default" w:ascii="Times New Roman" w:hAnsi="Times New Roman" w:cs="Times New Roman"/>
                <w:sz w:val="20"/>
                <w:szCs w:val="20"/>
              </w:rPr>
            </w:pPr>
            <w:r>
              <w:rPr>
                <w:rFonts w:hint="default" w:ascii="Times New Roman" w:hAnsi="Times New Roman" w:eastAsia="方正仿宋_GBK" w:cs="Times New Roman"/>
                <w:color w:val="000000"/>
                <w:kern w:val="0"/>
                <w:sz w:val="20"/>
                <w:szCs w:val="20"/>
              </w:rPr>
              <w:t>通过验收</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828" w:hRule="atLeast"/>
        </w:trPr>
        <w:tc>
          <w:tcPr>
            <w:tcW w:w="2047" w:type="dxa"/>
            <w:tcBorders>
              <w:top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CQIPOS202200030</w:t>
            </w:r>
          </w:p>
        </w:tc>
        <w:tc>
          <w:tcPr>
            <w:tcW w:w="2371"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螺纹铜管及制造技术知识产权风险预测预警</w:t>
            </w:r>
          </w:p>
        </w:tc>
        <w:tc>
          <w:tcPr>
            <w:tcW w:w="2236"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金龙精密铜管集团股份有限公司</w:t>
            </w:r>
          </w:p>
        </w:tc>
        <w:tc>
          <w:tcPr>
            <w:tcW w:w="2130" w:type="dxa"/>
            <w:tcBorders>
              <w:top w:val="nil"/>
              <w:left w:val="nil"/>
              <w:bottom w:val="single" w:color="auto" w:sz="4" w:space="0"/>
            </w:tcBorders>
            <w:shd w:val="clear" w:color="000000" w:fill="FFFFFF"/>
            <w:vAlign w:val="center"/>
          </w:tcPr>
          <w:p>
            <w:pPr>
              <w:spacing w:line="400" w:lineRule="exact"/>
              <w:jc w:val="center"/>
              <w:rPr>
                <w:rFonts w:hint="default" w:ascii="Times New Roman" w:hAnsi="Times New Roman" w:cs="Times New Roman"/>
                <w:sz w:val="20"/>
                <w:szCs w:val="20"/>
              </w:rPr>
            </w:pPr>
            <w:r>
              <w:rPr>
                <w:rFonts w:hint="default" w:ascii="Times New Roman" w:hAnsi="Times New Roman" w:eastAsia="方正仿宋_GBK" w:cs="Times New Roman"/>
                <w:color w:val="000000"/>
                <w:kern w:val="0"/>
                <w:sz w:val="20"/>
                <w:szCs w:val="20"/>
              </w:rPr>
              <w:t>通过验收</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828" w:hRule="atLeast"/>
        </w:trPr>
        <w:tc>
          <w:tcPr>
            <w:tcW w:w="2047" w:type="dxa"/>
            <w:tcBorders>
              <w:top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CQIPOS202200031</w:t>
            </w:r>
          </w:p>
        </w:tc>
        <w:tc>
          <w:tcPr>
            <w:tcW w:w="2371"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PH 胶囊无线检测系统知识产权风险预测预警</w:t>
            </w:r>
          </w:p>
        </w:tc>
        <w:tc>
          <w:tcPr>
            <w:tcW w:w="2236"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重庆金山科技（集团）有限公司</w:t>
            </w:r>
          </w:p>
        </w:tc>
        <w:tc>
          <w:tcPr>
            <w:tcW w:w="2130" w:type="dxa"/>
            <w:tcBorders>
              <w:top w:val="nil"/>
              <w:left w:val="nil"/>
              <w:bottom w:val="single" w:color="auto" w:sz="4" w:space="0"/>
            </w:tcBorders>
            <w:shd w:val="clear" w:color="000000" w:fill="FFFFFF"/>
            <w:vAlign w:val="center"/>
          </w:tcPr>
          <w:p>
            <w:pPr>
              <w:spacing w:line="400" w:lineRule="exact"/>
              <w:jc w:val="center"/>
              <w:rPr>
                <w:rFonts w:hint="default" w:ascii="Times New Roman" w:hAnsi="Times New Roman" w:cs="Times New Roman"/>
                <w:sz w:val="20"/>
                <w:szCs w:val="20"/>
              </w:rPr>
            </w:pPr>
            <w:r>
              <w:rPr>
                <w:rFonts w:hint="default" w:ascii="Times New Roman" w:hAnsi="Times New Roman" w:eastAsia="方正仿宋_GBK" w:cs="Times New Roman"/>
                <w:color w:val="000000"/>
                <w:kern w:val="0"/>
                <w:sz w:val="20"/>
                <w:szCs w:val="20"/>
              </w:rPr>
              <w:t>通过验收</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828" w:hRule="atLeast"/>
        </w:trPr>
        <w:tc>
          <w:tcPr>
            <w:tcW w:w="2047" w:type="dxa"/>
            <w:tcBorders>
              <w:top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CQIPOS202200032</w:t>
            </w:r>
          </w:p>
        </w:tc>
        <w:tc>
          <w:tcPr>
            <w:tcW w:w="2371"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晓宇涉外知识产权风险预测预警</w:t>
            </w:r>
          </w:p>
        </w:tc>
        <w:tc>
          <w:tcPr>
            <w:tcW w:w="2236"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重庆晓宇餐饮文化管理有限公司</w:t>
            </w:r>
          </w:p>
        </w:tc>
        <w:tc>
          <w:tcPr>
            <w:tcW w:w="2130" w:type="dxa"/>
            <w:tcBorders>
              <w:top w:val="nil"/>
              <w:left w:val="nil"/>
              <w:bottom w:val="single" w:color="auto" w:sz="4" w:space="0"/>
            </w:tcBorders>
            <w:shd w:val="clear" w:color="000000" w:fill="FFFFFF"/>
            <w:vAlign w:val="center"/>
          </w:tcPr>
          <w:p>
            <w:pPr>
              <w:spacing w:line="400" w:lineRule="exact"/>
              <w:jc w:val="center"/>
              <w:rPr>
                <w:rFonts w:hint="default" w:ascii="Times New Roman" w:hAnsi="Times New Roman" w:cs="Times New Roman"/>
                <w:sz w:val="20"/>
                <w:szCs w:val="20"/>
              </w:rPr>
            </w:pPr>
            <w:r>
              <w:rPr>
                <w:rFonts w:hint="default" w:ascii="Times New Roman" w:hAnsi="Times New Roman" w:eastAsia="方正仿宋_GBK" w:cs="Times New Roman"/>
                <w:color w:val="000000"/>
                <w:kern w:val="0"/>
                <w:sz w:val="20"/>
                <w:szCs w:val="20"/>
              </w:rPr>
              <w:t>通过验收</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828" w:hRule="atLeast"/>
        </w:trPr>
        <w:tc>
          <w:tcPr>
            <w:tcW w:w="2047" w:type="dxa"/>
            <w:tcBorders>
              <w:top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CQIPOS202200033</w:t>
            </w:r>
          </w:p>
        </w:tc>
        <w:tc>
          <w:tcPr>
            <w:tcW w:w="2371"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小型农业机械美国及欧洲专利风险预警分析</w:t>
            </w:r>
          </w:p>
        </w:tc>
        <w:tc>
          <w:tcPr>
            <w:tcW w:w="2236"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重庆嘉木机械有限公司</w:t>
            </w:r>
          </w:p>
        </w:tc>
        <w:tc>
          <w:tcPr>
            <w:tcW w:w="2130" w:type="dxa"/>
            <w:tcBorders>
              <w:top w:val="nil"/>
              <w:left w:val="nil"/>
              <w:bottom w:val="single" w:color="auto" w:sz="4" w:space="0"/>
            </w:tcBorders>
            <w:shd w:val="clear" w:color="000000" w:fill="FFFFFF"/>
            <w:vAlign w:val="center"/>
          </w:tcPr>
          <w:p>
            <w:pPr>
              <w:spacing w:line="400" w:lineRule="exact"/>
              <w:jc w:val="center"/>
              <w:rPr>
                <w:rFonts w:hint="default" w:ascii="Times New Roman" w:hAnsi="Times New Roman" w:cs="Times New Roman"/>
                <w:sz w:val="20"/>
                <w:szCs w:val="20"/>
              </w:rPr>
            </w:pPr>
            <w:r>
              <w:rPr>
                <w:rFonts w:hint="default" w:ascii="Times New Roman" w:hAnsi="Times New Roman" w:eastAsia="方正仿宋_GBK" w:cs="Times New Roman"/>
                <w:color w:val="000000"/>
                <w:kern w:val="0"/>
                <w:sz w:val="20"/>
                <w:szCs w:val="20"/>
              </w:rPr>
              <w:t>通过验收</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828" w:hRule="atLeast"/>
        </w:trPr>
        <w:tc>
          <w:tcPr>
            <w:tcW w:w="2047" w:type="dxa"/>
            <w:tcBorders>
              <w:top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CQIPOS202200034</w:t>
            </w:r>
          </w:p>
        </w:tc>
        <w:tc>
          <w:tcPr>
            <w:tcW w:w="2371"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长安新能源 C385 整车项目海外专利风险预警项目</w:t>
            </w:r>
          </w:p>
        </w:tc>
        <w:tc>
          <w:tcPr>
            <w:tcW w:w="2236"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重庆长安新能源汽车科技有限公司</w:t>
            </w:r>
          </w:p>
        </w:tc>
        <w:tc>
          <w:tcPr>
            <w:tcW w:w="2130" w:type="dxa"/>
            <w:tcBorders>
              <w:top w:val="nil"/>
              <w:left w:val="nil"/>
              <w:bottom w:val="single" w:color="auto" w:sz="4" w:space="0"/>
            </w:tcBorders>
            <w:shd w:val="clear" w:color="000000" w:fill="FFFFFF"/>
            <w:vAlign w:val="center"/>
          </w:tcPr>
          <w:p>
            <w:pPr>
              <w:spacing w:line="400" w:lineRule="exact"/>
              <w:jc w:val="center"/>
              <w:rPr>
                <w:rFonts w:hint="default" w:ascii="Times New Roman" w:hAnsi="Times New Roman" w:cs="Times New Roman"/>
                <w:sz w:val="20"/>
                <w:szCs w:val="20"/>
              </w:rPr>
            </w:pPr>
            <w:r>
              <w:rPr>
                <w:rFonts w:hint="default" w:ascii="Times New Roman" w:hAnsi="Times New Roman" w:eastAsia="方正仿宋_GBK" w:cs="Times New Roman"/>
                <w:color w:val="000000"/>
                <w:kern w:val="0"/>
                <w:sz w:val="20"/>
                <w:szCs w:val="20"/>
              </w:rPr>
              <w:t>通过验收</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1104" w:hRule="atLeast"/>
        </w:trPr>
        <w:tc>
          <w:tcPr>
            <w:tcW w:w="2047" w:type="dxa"/>
            <w:tcBorders>
              <w:top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CQIPOS202200035</w:t>
            </w:r>
          </w:p>
        </w:tc>
        <w:tc>
          <w:tcPr>
            <w:tcW w:w="2371"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铁路车号自动识别系统在“一带一路”市场国家及欧洲专利风险预警分析</w:t>
            </w:r>
          </w:p>
        </w:tc>
        <w:tc>
          <w:tcPr>
            <w:tcW w:w="2236"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重庆微标科技股份有限公司</w:t>
            </w:r>
          </w:p>
        </w:tc>
        <w:tc>
          <w:tcPr>
            <w:tcW w:w="2130" w:type="dxa"/>
            <w:tcBorders>
              <w:top w:val="nil"/>
              <w:left w:val="nil"/>
              <w:bottom w:val="single" w:color="auto" w:sz="4" w:space="0"/>
            </w:tcBorders>
            <w:shd w:val="clear" w:color="000000" w:fill="FFFFFF"/>
            <w:vAlign w:val="center"/>
          </w:tcPr>
          <w:p>
            <w:pPr>
              <w:spacing w:line="400" w:lineRule="exact"/>
              <w:jc w:val="center"/>
              <w:rPr>
                <w:rFonts w:hint="default" w:ascii="Times New Roman" w:hAnsi="Times New Roman" w:cs="Times New Roman"/>
                <w:sz w:val="20"/>
                <w:szCs w:val="20"/>
              </w:rPr>
            </w:pPr>
            <w:r>
              <w:rPr>
                <w:rFonts w:hint="default" w:ascii="Times New Roman" w:hAnsi="Times New Roman" w:eastAsia="方正仿宋_GBK" w:cs="Times New Roman"/>
                <w:color w:val="000000"/>
                <w:kern w:val="0"/>
                <w:sz w:val="20"/>
                <w:szCs w:val="20"/>
              </w:rPr>
              <w:t>通过验收</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810" w:hRule="atLeast"/>
        </w:trPr>
        <w:tc>
          <w:tcPr>
            <w:tcW w:w="2047" w:type="dxa"/>
            <w:tcBorders>
              <w:top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CQIPOS202200036</w:t>
            </w:r>
          </w:p>
        </w:tc>
        <w:tc>
          <w:tcPr>
            <w:tcW w:w="2371"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手工锯中德风险预测预警项目</w:t>
            </w:r>
          </w:p>
        </w:tc>
        <w:tc>
          <w:tcPr>
            <w:tcW w:w="2236"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重庆明友钢具制造有限公司</w:t>
            </w:r>
          </w:p>
        </w:tc>
        <w:tc>
          <w:tcPr>
            <w:tcW w:w="2130" w:type="dxa"/>
            <w:tcBorders>
              <w:top w:val="nil"/>
              <w:left w:val="nil"/>
              <w:bottom w:val="single" w:color="auto" w:sz="4" w:space="0"/>
            </w:tcBorders>
            <w:shd w:val="clear" w:color="000000" w:fill="FFFFFF"/>
            <w:vAlign w:val="center"/>
          </w:tcPr>
          <w:p>
            <w:pPr>
              <w:spacing w:line="400" w:lineRule="exact"/>
              <w:jc w:val="center"/>
              <w:rPr>
                <w:rFonts w:hint="default" w:ascii="Times New Roman" w:hAnsi="Times New Roman" w:cs="Times New Roman"/>
                <w:sz w:val="20"/>
                <w:szCs w:val="20"/>
              </w:rPr>
            </w:pPr>
            <w:r>
              <w:rPr>
                <w:rFonts w:hint="default" w:ascii="Times New Roman" w:hAnsi="Times New Roman" w:eastAsia="方正仿宋_GBK" w:cs="Times New Roman"/>
                <w:color w:val="000000"/>
                <w:kern w:val="0"/>
                <w:sz w:val="20"/>
                <w:szCs w:val="20"/>
              </w:rPr>
              <w:t>通过验收</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1104" w:hRule="atLeast"/>
        </w:trPr>
        <w:tc>
          <w:tcPr>
            <w:tcW w:w="2047" w:type="dxa"/>
            <w:tcBorders>
              <w:top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CQIPOS202200037</w:t>
            </w:r>
          </w:p>
        </w:tc>
        <w:tc>
          <w:tcPr>
            <w:tcW w:w="2371"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基于电动汽车的无线充电装置专利分析及侵权风险预警</w:t>
            </w:r>
          </w:p>
        </w:tc>
        <w:tc>
          <w:tcPr>
            <w:tcW w:w="2236"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重庆华创智能科技研究院有限公司</w:t>
            </w:r>
          </w:p>
        </w:tc>
        <w:tc>
          <w:tcPr>
            <w:tcW w:w="2130" w:type="dxa"/>
            <w:tcBorders>
              <w:top w:val="nil"/>
              <w:left w:val="nil"/>
              <w:bottom w:val="single" w:color="auto" w:sz="4" w:space="0"/>
            </w:tcBorders>
            <w:shd w:val="clear" w:color="000000" w:fill="FFFFFF"/>
            <w:vAlign w:val="center"/>
          </w:tcPr>
          <w:p>
            <w:pPr>
              <w:spacing w:line="400" w:lineRule="exact"/>
              <w:jc w:val="center"/>
              <w:rPr>
                <w:rFonts w:hint="default" w:ascii="Times New Roman" w:hAnsi="Times New Roman" w:cs="Times New Roman"/>
                <w:sz w:val="20"/>
                <w:szCs w:val="20"/>
              </w:rPr>
            </w:pPr>
            <w:r>
              <w:rPr>
                <w:rFonts w:hint="default" w:ascii="Times New Roman" w:hAnsi="Times New Roman" w:eastAsia="方正仿宋_GBK" w:cs="Times New Roman"/>
                <w:color w:val="000000"/>
                <w:kern w:val="0"/>
                <w:sz w:val="20"/>
                <w:szCs w:val="20"/>
              </w:rPr>
              <w:t>通过验收</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828" w:hRule="atLeast"/>
        </w:trPr>
        <w:tc>
          <w:tcPr>
            <w:tcW w:w="2047" w:type="dxa"/>
            <w:tcBorders>
              <w:top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CQIPOS202200038</w:t>
            </w:r>
          </w:p>
        </w:tc>
        <w:tc>
          <w:tcPr>
            <w:tcW w:w="2371"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医用吻合器专利风险预测预警分析报告</w:t>
            </w:r>
          </w:p>
        </w:tc>
        <w:tc>
          <w:tcPr>
            <w:tcW w:w="2236"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重庆迈科唯医疗科技有限公司</w:t>
            </w:r>
          </w:p>
        </w:tc>
        <w:tc>
          <w:tcPr>
            <w:tcW w:w="2130" w:type="dxa"/>
            <w:tcBorders>
              <w:top w:val="nil"/>
              <w:left w:val="nil"/>
              <w:bottom w:val="single" w:color="auto" w:sz="4" w:space="0"/>
            </w:tcBorders>
            <w:shd w:val="clear" w:color="000000" w:fill="FFFFFF"/>
            <w:vAlign w:val="center"/>
          </w:tcPr>
          <w:p>
            <w:pPr>
              <w:spacing w:line="400" w:lineRule="exact"/>
              <w:jc w:val="center"/>
              <w:rPr>
                <w:rFonts w:hint="default" w:ascii="Times New Roman" w:hAnsi="Times New Roman" w:cs="Times New Roman"/>
                <w:sz w:val="20"/>
                <w:szCs w:val="20"/>
              </w:rPr>
            </w:pPr>
            <w:r>
              <w:rPr>
                <w:rFonts w:hint="default" w:ascii="Times New Roman" w:hAnsi="Times New Roman" w:eastAsia="方正仿宋_GBK" w:cs="Times New Roman"/>
                <w:color w:val="000000"/>
                <w:kern w:val="0"/>
                <w:sz w:val="20"/>
                <w:szCs w:val="20"/>
              </w:rPr>
              <w:t>通过验收</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1140" w:hRule="atLeast"/>
        </w:trPr>
        <w:tc>
          <w:tcPr>
            <w:tcW w:w="2047" w:type="dxa"/>
            <w:tcBorders>
              <w:top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CQIPOS202200039</w:t>
            </w:r>
          </w:p>
        </w:tc>
        <w:tc>
          <w:tcPr>
            <w:tcW w:w="2371"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污水处理系统在孟加拉的知识产权风险预警</w:t>
            </w:r>
          </w:p>
        </w:tc>
        <w:tc>
          <w:tcPr>
            <w:tcW w:w="2236"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重庆市机电设计研究院有限公司</w:t>
            </w:r>
          </w:p>
        </w:tc>
        <w:tc>
          <w:tcPr>
            <w:tcW w:w="2130" w:type="dxa"/>
            <w:tcBorders>
              <w:top w:val="nil"/>
              <w:left w:val="nil"/>
              <w:bottom w:val="single" w:color="auto" w:sz="4" w:space="0"/>
            </w:tcBorders>
            <w:shd w:val="clear" w:color="000000" w:fill="FFFFFF"/>
            <w:vAlign w:val="center"/>
          </w:tcPr>
          <w:p>
            <w:pPr>
              <w:spacing w:line="400" w:lineRule="exact"/>
              <w:jc w:val="center"/>
              <w:rPr>
                <w:rFonts w:hint="default" w:ascii="Times New Roman" w:hAnsi="Times New Roman" w:cs="Times New Roman"/>
                <w:sz w:val="20"/>
                <w:szCs w:val="20"/>
              </w:rPr>
            </w:pPr>
            <w:r>
              <w:rPr>
                <w:rFonts w:hint="default" w:ascii="Times New Roman" w:hAnsi="Times New Roman" w:eastAsia="方正仿宋_GBK" w:cs="Times New Roman"/>
                <w:color w:val="000000"/>
                <w:kern w:val="0"/>
                <w:sz w:val="20"/>
                <w:szCs w:val="20"/>
              </w:rPr>
              <w:t>通过验收</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828" w:hRule="atLeast"/>
        </w:trPr>
        <w:tc>
          <w:tcPr>
            <w:tcW w:w="2047" w:type="dxa"/>
            <w:tcBorders>
              <w:top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CQIPOS202200040</w:t>
            </w:r>
          </w:p>
        </w:tc>
        <w:tc>
          <w:tcPr>
            <w:tcW w:w="2371"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气体超声流量计技术知识产权风险防控</w:t>
            </w:r>
          </w:p>
        </w:tc>
        <w:tc>
          <w:tcPr>
            <w:tcW w:w="2236"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重庆市山城燃气设备有限公司</w:t>
            </w:r>
          </w:p>
        </w:tc>
        <w:tc>
          <w:tcPr>
            <w:tcW w:w="2130" w:type="dxa"/>
            <w:tcBorders>
              <w:top w:val="nil"/>
              <w:left w:val="nil"/>
              <w:bottom w:val="single" w:color="auto" w:sz="4" w:space="0"/>
            </w:tcBorders>
            <w:shd w:val="clear" w:color="000000" w:fill="FFFFFF"/>
            <w:vAlign w:val="center"/>
          </w:tcPr>
          <w:p>
            <w:pPr>
              <w:spacing w:line="400" w:lineRule="exact"/>
              <w:jc w:val="center"/>
              <w:rPr>
                <w:rFonts w:hint="default" w:ascii="Times New Roman" w:hAnsi="Times New Roman" w:cs="Times New Roman"/>
                <w:sz w:val="20"/>
                <w:szCs w:val="20"/>
              </w:rPr>
            </w:pPr>
            <w:r>
              <w:rPr>
                <w:rFonts w:hint="default" w:ascii="Times New Roman" w:hAnsi="Times New Roman" w:eastAsia="方正仿宋_GBK" w:cs="Times New Roman"/>
                <w:color w:val="000000"/>
                <w:kern w:val="0"/>
                <w:sz w:val="20"/>
                <w:szCs w:val="20"/>
              </w:rPr>
              <w:t>通过验收</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1104" w:hRule="atLeast"/>
        </w:trPr>
        <w:tc>
          <w:tcPr>
            <w:tcW w:w="2047" w:type="dxa"/>
            <w:tcBorders>
              <w:top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CQIPOS202200041</w:t>
            </w:r>
          </w:p>
        </w:tc>
        <w:tc>
          <w:tcPr>
            <w:tcW w:w="2371"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重庆火锅核心知识产权全球化布局及风险预警分析</w:t>
            </w:r>
          </w:p>
        </w:tc>
        <w:tc>
          <w:tcPr>
            <w:tcW w:w="2236"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重庆德庄实业（集团）有限公司</w:t>
            </w:r>
          </w:p>
        </w:tc>
        <w:tc>
          <w:tcPr>
            <w:tcW w:w="2130" w:type="dxa"/>
            <w:tcBorders>
              <w:top w:val="nil"/>
              <w:left w:val="nil"/>
              <w:bottom w:val="single" w:color="auto" w:sz="4" w:space="0"/>
            </w:tcBorders>
            <w:shd w:val="clear" w:color="000000" w:fill="FFFFFF"/>
            <w:vAlign w:val="center"/>
          </w:tcPr>
          <w:p>
            <w:pPr>
              <w:spacing w:line="400" w:lineRule="exact"/>
              <w:jc w:val="center"/>
              <w:rPr>
                <w:rFonts w:hint="default" w:ascii="Times New Roman" w:hAnsi="Times New Roman" w:cs="Times New Roman"/>
                <w:sz w:val="20"/>
                <w:szCs w:val="20"/>
              </w:rPr>
            </w:pPr>
            <w:r>
              <w:rPr>
                <w:rFonts w:hint="default" w:ascii="Times New Roman" w:hAnsi="Times New Roman" w:eastAsia="方正仿宋_GBK" w:cs="Times New Roman"/>
                <w:color w:val="000000"/>
                <w:kern w:val="0"/>
                <w:sz w:val="20"/>
                <w:szCs w:val="20"/>
              </w:rPr>
              <w:t>通过验收</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552" w:hRule="atLeast"/>
        </w:trPr>
        <w:tc>
          <w:tcPr>
            <w:tcW w:w="2047" w:type="dxa"/>
            <w:tcBorders>
              <w:top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CQIPOS202200042</w:t>
            </w:r>
          </w:p>
        </w:tc>
        <w:tc>
          <w:tcPr>
            <w:tcW w:w="2371"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全键盘标签打印机行业的全球技术态势分析</w:t>
            </w:r>
          </w:p>
        </w:tc>
        <w:tc>
          <w:tcPr>
            <w:tcW w:w="2236"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重庆品胜科技有限公司</w:t>
            </w:r>
          </w:p>
        </w:tc>
        <w:tc>
          <w:tcPr>
            <w:tcW w:w="2130" w:type="dxa"/>
            <w:tcBorders>
              <w:top w:val="nil"/>
              <w:left w:val="nil"/>
              <w:bottom w:val="single" w:color="auto" w:sz="4" w:space="0"/>
            </w:tcBorders>
            <w:shd w:val="clear" w:color="000000" w:fill="FFFFFF"/>
            <w:vAlign w:val="center"/>
          </w:tcPr>
          <w:p>
            <w:pPr>
              <w:spacing w:line="400" w:lineRule="exact"/>
              <w:jc w:val="center"/>
              <w:rPr>
                <w:rFonts w:hint="default" w:ascii="Times New Roman" w:hAnsi="Times New Roman" w:cs="Times New Roman"/>
                <w:sz w:val="20"/>
                <w:szCs w:val="20"/>
              </w:rPr>
            </w:pPr>
            <w:r>
              <w:rPr>
                <w:rFonts w:hint="default" w:ascii="Times New Roman" w:hAnsi="Times New Roman" w:eastAsia="方正仿宋_GBK" w:cs="Times New Roman"/>
                <w:color w:val="000000"/>
                <w:kern w:val="0"/>
                <w:sz w:val="20"/>
                <w:szCs w:val="20"/>
              </w:rPr>
              <w:t>通过验收</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828" w:hRule="atLeast"/>
        </w:trPr>
        <w:tc>
          <w:tcPr>
            <w:tcW w:w="2047" w:type="dxa"/>
            <w:tcBorders>
              <w:top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CQIPOS202200043</w:t>
            </w:r>
          </w:p>
        </w:tc>
        <w:tc>
          <w:tcPr>
            <w:tcW w:w="2371"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餐厨垃圾处理技术专利预警分析</w:t>
            </w:r>
          </w:p>
        </w:tc>
        <w:tc>
          <w:tcPr>
            <w:tcW w:w="2236"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重庆耐德生态科技有限公司</w:t>
            </w:r>
          </w:p>
        </w:tc>
        <w:tc>
          <w:tcPr>
            <w:tcW w:w="2130" w:type="dxa"/>
            <w:tcBorders>
              <w:top w:val="nil"/>
              <w:left w:val="nil"/>
              <w:bottom w:val="single" w:color="auto" w:sz="4" w:space="0"/>
            </w:tcBorders>
            <w:shd w:val="clear" w:color="000000" w:fill="FFFFFF"/>
            <w:vAlign w:val="center"/>
          </w:tcPr>
          <w:p>
            <w:pPr>
              <w:spacing w:line="400" w:lineRule="exact"/>
              <w:jc w:val="center"/>
              <w:rPr>
                <w:rFonts w:hint="default" w:ascii="Times New Roman" w:hAnsi="Times New Roman" w:cs="Times New Roman"/>
                <w:sz w:val="20"/>
                <w:szCs w:val="20"/>
              </w:rPr>
            </w:pPr>
            <w:r>
              <w:rPr>
                <w:rFonts w:hint="default" w:ascii="Times New Roman" w:hAnsi="Times New Roman" w:eastAsia="方正仿宋_GBK" w:cs="Times New Roman"/>
                <w:color w:val="000000"/>
                <w:kern w:val="0"/>
                <w:sz w:val="20"/>
                <w:szCs w:val="20"/>
              </w:rPr>
              <w:t>通过验收</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828" w:hRule="atLeast"/>
        </w:trPr>
        <w:tc>
          <w:tcPr>
            <w:tcW w:w="2047" w:type="dxa"/>
            <w:tcBorders>
              <w:top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CQIPOS202200044</w:t>
            </w:r>
          </w:p>
        </w:tc>
        <w:tc>
          <w:tcPr>
            <w:tcW w:w="2371"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弯梁摩托车（KN110-3C）海外市场风险预警分析</w:t>
            </w:r>
          </w:p>
        </w:tc>
        <w:tc>
          <w:tcPr>
            <w:tcW w:w="2236"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重庆光宇摩托车制造有限公司</w:t>
            </w:r>
          </w:p>
        </w:tc>
        <w:tc>
          <w:tcPr>
            <w:tcW w:w="2130" w:type="dxa"/>
            <w:tcBorders>
              <w:top w:val="nil"/>
              <w:left w:val="nil"/>
              <w:bottom w:val="single" w:color="auto" w:sz="4" w:space="0"/>
            </w:tcBorders>
            <w:shd w:val="clear" w:color="000000" w:fill="FFFFFF"/>
            <w:vAlign w:val="center"/>
          </w:tcPr>
          <w:p>
            <w:pPr>
              <w:spacing w:line="400" w:lineRule="exact"/>
              <w:jc w:val="center"/>
              <w:rPr>
                <w:rFonts w:hint="default" w:ascii="Times New Roman" w:hAnsi="Times New Roman" w:cs="Times New Roman"/>
                <w:sz w:val="20"/>
                <w:szCs w:val="20"/>
              </w:rPr>
            </w:pPr>
            <w:r>
              <w:rPr>
                <w:rFonts w:hint="default" w:ascii="Times New Roman" w:hAnsi="Times New Roman" w:eastAsia="方正仿宋_GBK" w:cs="Times New Roman"/>
                <w:color w:val="000000"/>
                <w:kern w:val="0"/>
                <w:sz w:val="20"/>
                <w:szCs w:val="20"/>
              </w:rPr>
              <w:t>通过验收</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828" w:hRule="atLeast"/>
        </w:trPr>
        <w:tc>
          <w:tcPr>
            <w:tcW w:w="2047" w:type="dxa"/>
            <w:tcBorders>
              <w:top w:val="nil"/>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CQIPOS202200045</w:t>
            </w:r>
          </w:p>
        </w:tc>
        <w:tc>
          <w:tcPr>
            <w:tcW w:w="2371" w:type="dxa"/>
            <w:tcBorders>
              <w:top w:val="nil"/>
              <w:left w:val="nil"/>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双质量飞轮知识产权海外侵权风险预警分析</w:t>
            </w:r>
          </w:p>
        </w:tc>
        <w:tc>
          <w:tcPr>
            <w:tcW w:w="2236" w:type="dxa"/>
            <w:tcBorders>
              <w:top w:val="nil"/>
              <w:left w:val="nil"/>
              <w:right w:val="single" w:color="auto" w:sz="4" w:space="0"/>
            </w:tcBorders>
            <w:shd w:val="clear" w:color="000000" w:fill="FFFFFF"/>
            <w:vAlign w:val="center"/>
          </w:tcPr>
          <w:p>
            <w:pPr>
              <w:widowControl/>
              <w:jc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茂茂（重庆）汽车驱动系统有限公司</w:t>
            </w:r>
          </w:p>
        </w:tc>
        <w:tc>
          <w:tcPr>
            <w:tcW w:w="2130" w:type="dxa"/>
            <w:tcBorders>
              <w:top w:val="nil"/>
              <w:left w:val="nil"/>
            </w:tcBorders>
            <w:shd w:val="clear" w:color="000000" w:fill="FFFFFF"/>
            <w:vAlign w:val="center"/>
          </w:tcPr>
          <w:p>
            <w:pPr>
              <w:spacing w:line="400" w:lineRule="exact"/>
              <w:jc w:val="center"/>
              <w:rPr>
                <w:rFonts w:hint="default" w:ascii="Times New Roman" w:hAnsi="Times New Roman" w:cs="Times New Roman"/>
                <w:sz w:val="20"/>
                <w:szCs w:val="20"/>
              </w:rPr>
            </w:pPr>
            <w:r>
              <w:rPr>
                <w:rFonts w:hint="default" w:ascii="Times New Roman" w:hAnsi="Times New Roman" w:eastAsia="方正仿宋_GBK" w:cs="Times New Roman"/>
                <w:color w:val="000000"/>
                <w:kern w:val="0"/>
                <w:sz w:val="20"/>
                <w:szCs w:val="20"/>
              </w:rPr>
              <w:t>通过验收</w:t>
            </w:r>
          </w:p>
        </w:tc>
      </w:tr>
    </w:tbl>
    <w:p>
      <w:pPr>
        <w:adjustRightInd w:val="0"/>
        <w:snapToGrid w:val="0"/>
        <w:rPr>
          <w:rFonts w:ascii="Times New Roman" w:hAnsi="Times New Roman" w:eastAsia="方正小标宋_GBK"/>
          <w:sz w:val="44"/>
          <w:szCs w:val="36"/>
        </w:rPr>
      </w:pPr>
    </w:p>
    <w:sectPr>
      <w:footerReference r:id="rId4" w:type="default"/>
      <w:headerReference r:id="rId3" w:type="even"/>
      <w:footerReference r:id="rId5" w:type="even"/>
      <w:pgSz w:w="11906" w:h="16838"/>
      <w:pgMar w:top="2098" w:right="1531" w:bottom="1984" w:left="1531" w:header="851" w:footer="141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280" w:firstLine="280" w:firstLineChars="100"/>
      <w:jc w:val="right"/>
    </w:pPr>
    <w:r>
      <w:rPr>
        <w:rFonts w:hint="eastAsia" w:ascii="宋体" w:hAnsi="宋体" w:eastAsia="宋体" w:cs="宋体"/>
        <w:sz w:val="28"/>
        <w:szCs w:val="28"/>
      </w:rPr>
      <w:t>—</w:t>
    </w:r>
    <w:r>
      <w:rPr>
        <w:rFonts w:ascii="宋体" w:hAnsi="宋体" w:eastAsia="宋体" w:cs="宋体"/>
        <w:sz w:val="28"/>
        <w:szCs w:val="28"/>
      </w:rPr>
      <w:t xml:space="preserve"> </w:t>
    </w: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rPr>
      <w:t>2</w:t>
    </w:r>
    <w:r>
      <w:rPr>
        <w:rFonts w:ascii="宋体" w:hAnsi="宋体" w:eastAsia="宋体"/>
        <w:sz w:val="28"/>
        <w:szCs w:val="28"/>
      </w:rPr>
      <w:fldChar w:fldCharType="end"/>
    </w:r>
    <w:r>
      <w:rPr>
        <w:rFonts w:ascii="宋体" w:hAnsi="宋体" w:eastAsia="宋体" w:cs="宋体"/>
        <w:sz w:val="28"/>
        <w:szCs w:val="28"/>
      </w:rPr>
      <w:t xml:space="preserve"> </w:t>
    </w:r>
    <w:r>
      <w:rPr>
        <w:rFonts w:hint="eastAsia" w:ascii="宋体" w:hAnsi="宋体" w:eastAsia="宋体" w:cs="宋体"/>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280" w:firstLine="280" w:firstLineChars="100"/>
    </w:pPr>
    <w:r>
      <w:rPr>
        <w:rFonts w:hint="eastAsia" w:ascii="宋体" w:hAnsi="宋体" w:eastAsia="宋体" w:cs="宋体"/>
        <w:sz w:val="28"/>
        <w:szCs w:val="28"/>
      </w:rPr>
      <w:t>—</w:t>
    </w:r>
    <w:r>
      <w:rPr>
        <w:rFonts w:ascii="宋体" w:hAnsi="宋体" w:eastAsia="宋体" w:cs="宋体"/>
        <w:sz w:val="28"/>
        <w:szCs w:val="28"/>
      </w:rPr>
      <w:t xml:space="preserve"> </w:t>
    </w: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rPr>
      <w:t>2</w:t>
    </w:r>
    <w:r>
      <w:rPr>
        <w:rFonts w:ascii="宋体" w:hAnsi="宋体" w:eastAsia="宋体"/>
        <w:sz w:val="28"/>
        <w:szCs w:val="28"/>
      </w:rPr>
      <w:fldChar w:fldCharType="end"/>
    </w:r>
    <w:r>
      <w:rPr>
        <w:rFonts w:ascii="宋体" w:hAnsi="宋体" w:eastAsia="宋体" w:cs="宋体"/>
        <w:sz w:val="28"/>
        <w:szCs w:val="28"/>
      </w:rPr>
      <w:t xml:space="preserve"> </w:t>
    </w:r>
    <w:r>
      <w:rPr>
        <w:rFonts w:hint="eastAsia" w:ascii="宋体" w:hAnsi="宋体" w:eastAsia="宋体" w:cs="宋体"/>
        <w:sz w:val="28"/>
        <w:szCs w:val="28"/>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3E6E"/>
    <w:rsid w:val="00415D04"/>
    <w:rsid w:val="004E2D20"/>
    <w:rsid w:val="008E3E6E"/>
    <w:rsid w:val="009205B6"/>
    <w:rsid w:val="00981F82"/>
    <w:rsid w:val="00B9693B"/>
    <w:rsid w:val="00C45062"/>
    <w:rsid w:val="00D30FCE"/>
    <w:rsid w:val="00EC236E"/>
    <w:rsid w:val="606A15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7"/>
    <w:semiHidden/>
    <w:unhideWhenUsed/>
    <w:uiPriority w:val="99"/>
    <w:rPr>
      <w:sz w:val="18"/>
      <w:szCs w:val="18"/>
    </w:r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批注框文本 字符"/>
    <w:basedOn w:val="6"/>
    <w:link w:val="2"/>
    <w:semiHidden/>
    <w:uiPriority w:val="99"/>
    <w:rPr>
      <w:rFonts w:ascii="等线" w:hAnsi="等线" w:eastAsia="等线" w:cs="Times New Roman"/>
      <w:sz w:val="18"/>
      <w:szCs w:val="18"/>
    </w:rPr>
  </w:style>
  <w:style w:type="character" w:customStyle="1" w:styleId="8">
    <w:name w:val="页眉 字符"/>
    <w:basedOn w:val="6"/>
    <w:link w:val="4"/>
    <w:uiPriority w:val="99"/>
    <w:rPr>
      <w:rFonts w:ascii="等线" w:hAnsi="等线" w:eastAsia="等线" w:cs="Times New Roman"/>
      <w:sz w:val="18"/>
      <w:szCs w:val="18"/>
    </w:rPr>
  </w:style>
  <w:style w:type="character" w:customStyle="1" w:styleId="9">
    <w:name w:val="页脚 字符"/>
    <w:basedOn w:val="6"/>
    <w:link w:val="3"/>
    <w:uiPriority w:val="99"/>
    <w:rPr>
      <w:rFonts w:ascii="等线" w:hAnsi="等线" w:eastAsia="等线"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335</Words>
  <Characters>1915</Characters>
  <Lines>15</Lines>
  <Paragraphs>4</Paragraphs>
  <TotalTime>0</TotalTime>
  <ScaleCrop>false</ScaleCrop>
  <LinksUpToDate>false</LinksUpToDate>
  <CharactersWithSpaces>2246</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2023-10-12T03:08:00Z</dcterms:created>
  <dc:creator>AutoBVT</dc:creator>
  <cp:lastModifiedBy>沈雪旎</cp:lastModifiedBy>
  <cp:lastPrinted>2023-11-08T06:40:48Z</cp:lastPrinted>
  <dcterms:modified xsi:type="dcterms:W3CDTF">2023-11-08T06:40:51Z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