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w:t>
      </w:r>
      <w:r>
        <w:rPr>
          <w:rFonts w:ascii="Times New Roman" w:hAnsi="Times New Roman" w:eastAsia="仿宋_GB2312" w:cs="Times New Roman"/>
          <w:sz w:val="32"/>
          <w:szCs w:val="32"/>
        </w:rPr>
        <w:t>3</w:t>
      </w:r>
    </w:p>
    <w:p>
      <w:pPr>
        <w:spacing w:line="560" w:lineRule="exact"/>
        <w:jc w:val="center"/>
        <w:rPr>
          <w:rFonts w:ascii="方正小标宋_GBK" w:hAnsi="方正小标宋_GBK" w:eastAsia="方正小标宋_GBK" w:cs="方正小标宋_GBK"/>
          <w:sz w:val="44"/>
          <w:szCs w:val="44"/>
        </w:rPr>
      </w:pPr>
    </w:p>
    <w:p>
      <w:pPr>
        <w:spacing w:line="560" w:lineRule="exact"/>
        <w:jc w:val="center"/>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新型研发机构扶持资金使用说明</w:t>
      </w:r>
    </w:p>
    <w:bookmarkEnd w:id="0"/>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被认定为省级新型研发机构及综合评价后补助立项项目的，其扶持资金作为一种后补助方式，不计入在研项目数。后补助资金由单位统筹使用，应明确扶持资金使用方向，与科技创新无关的支出一律不得开支，包括普遍性禁止原则类和列入禁止类的经费使用情况一律不得开支。</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普遍性禁止原则：合作共建新型研发机构在建设经费和财政专项资金申请与使用中，严禁虚列支出、转移或者套取财政资金；严禁用公款支付高消费娱乐、健身活动；严禁用公款购买赠送、发放礼品等；严禁公款旅游或借公务差旅之机变相旅游；严禁以各种名义变相公款出国旅游；严禁超标准、超范围接待或借机大吃大喝；严禁使用财政性资金举办营业性文艺晚会；严禁其他违反法律法规规定的行为。</w:t>
      </w: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列入禁止类的经费使用情况：</w:t>
      </w:r>
    </w:p>
    <w:p>
      <w:pPr>
        <w:spacing w:line="560" w:lineRule="exact"/>
        <w:rPr>
          <w:rFonts w:ascii="楷体" w:hAnsi="楷体" w:eastAsia="楷体" w:cs="楷体"/>
          <w:sz w:val="32"/>
          <w:szCs w:val="32"/>
        </w:rPr>
      </w:pPr>
      <w:r>
        <w:rPr>
          <w:rFonts w:hint="eastAsia" w:ascii="楷体_GB2312" w:hAnsi="楷体_GB2312" w:eastAsia="楷体_GB2312" w:cs="楷体_GB2312"/>
          <w:sz w:val="32"/>
          <w:szCs w:val="32"/>
        </w:rPr>
        <w:t xml:space="preserve">   </w:t>
      </w:r>
      <w:r>
        <w:rPr>
          <w:rFonts w:hint="eastAsia" w:ascii="楷体" w:hAnsi="楷体" w:eastAsia="楷体" w:cs="楷体"/>
          <w:sz w:val="32"/>
          <w:szCs w:val="32"/>
        </w:rPr>
        <w:t>（一）禁止用于土地购置和商住房地产建设项目；</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（二）禁止超出办公标准（市公益一类事业单位标准）和超出科研使用目的的装修；</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三）属公益一类事业单位的，禁止“三公”开支；非公益一类事业单位的，禁止超过公益一类事业单位“三公”经费标准开支。科研人员开展科研活动相关开支，不受上述条件限制，不纳入单位“三公”经费统计范围；</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（四）禁止公益一类、二类事业单位的私车公养开支；</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（五）禁止超标准组织安排会议费用开支；</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（六）禁止超标准核销差旅、出国（境）经费开支；</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（七）禁止超标准支付专家咨询费用；</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（八）禁止事业单位在补足在编人员工资性支出额度后超额发放工资、补贴；</w:t>
      </w:r>
    </w:p>
    <w:p>
      <w:pPr>
        <w:spacing w:line="560" w:lineRule="exact"/>
        <w:rPr>
          <w:rFonts w:ascii="楷体" w:hAnsi="楷体" w:eastAsia="楷体" w:cs="楷体"/>
          <w:sz w:val="32"/>
          <w:szCs w:val="32"/>
        </w:rPr>
      </w:pPr>
      <w:r>
        <w:rPr>
          <w:rFonts w:hint="eastAsia" w:ascii="楷体" w:hAnsi="楷体" w:eastAsia="楷体" w:cs="楷体"/>
          <w:sz w:val="32"/>
          <w:szCs w:val="32"/>
        </w:rPr>
        <w:t xml:space="preserve">   （九）禁止无绩效考评或其他合理依据发放奖金。</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单位新型研发机构经费获批后，将严格遵守“新型研发机构扶持经费使用说明”及有关规定使用财政资金，专款专用。严格执行财政科研项目严重失信行为记录与惩戒有关规定，如有违反，科技主管部门会同相关部门可对严重违背科研诚信要求的行为实行终身追责。对严重违背科研诚信要求的相关科研人员、项目负责人及违反职业规范、职业道德的第三方中介机构采取联合惩戒措施，按照科研项目管理有关规定记入诚信档案，并纳入科研活动黑名单。</w:t>
      </w:r>
    </w:p>
    <w:p>
      <w:pPr>
        <w:spacing w:line="560" w:lineRule="exact"/>
        <w:ind w:firstLine="435"/>
        <w:rPr>
          <w:rFonts w:ascii="Times New Roman" w:hAnsi="Times New Roman" w:eastAsia="仿宋_GB2312" w:cs="Times New Roman"/>
          <w:sz w:val="32"/>
          <w:szCs w:val="32"/>
        </w:rPr>
      </w:pPr>
    </w:p>
    <w:p>
      <w:pPr>
        <w:spacing w:line="560" w:lineRule="exact"/>
        <w:ind w:firstLine="435"/>
        <w:rPr>
          <w:rFonts w:ascii="Times New Roman" w:hAnsi="Times New Roman" w:eastAsia="仿宋_GB2312" w:cs="Times New Roman"/>
          <w:sz w:val="32"/>
          <w:szCs w:val="32"/>
        </w:rPr>
      </w:pPr>
    </w:p>
    <w:p>
      <w:pPr>
        <w:spacing w:line="560" w:lineRule="exact"/>
        <w:ind w:firstLine="435"/>
        <w:rPr>
          <w:rFonts w:ascii="Times New Roman" w:hAnsi="Times New Roman" w:eastAsia="仿宋_GB2312" w:cs="Times New Roman"/>
          <w:sz w:val="32"/>
          <w:szCs w:val="32"/>
        </w:rPr>
      </w:pPr>
    </w:p>
    <w:p>
      <w:p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单位法人签字：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单位盖章：</w:t>
      </w:r>
    </w:p>
    <w:p>
      <w:pPr>
        <w:spacing w:line="560" w:lineRule="exact"/>
        <w:ind w:firstLine="435"/>
        <w:rPr>
          <w:rFonts w:ascii="Times New Roman" w:hAnsi="Times New Roman" w:eastAsia="仿宋_GB2312" w:cs="Times New Roman"/>
          <w:sz w:val="32"/>
          <w:szCs w:val="32"/>
        </w:rPr>
      </w:pPr>
    </w:p>
    <w:p>
      <w:pPr>
        <w:spacing w:line="560" w:lineRule="exact"/>
        <w:ind w:firstLine="435"/>
        <w:rPr>
          <w:rFonts w:ascii="Times New Roman" w:hAnsi="Times New Roman" w:eastAsia="仿宋_GB2312" w:cs="Times New Roman"/>
          <w:sz w:val="32"/>
          <w:szCs w:val="32"/>
        </w:rPr>
      </w:pPr>
    </w:p>
    <w:p>
      <w:pPr>
        <w:spacing w:line="560" w:lineRule="exact"/>
        <w:ind w:firstLine="6400" w:firstLineChars="2000"/>
        <w:rPr>
          <w:rFonts w:ascii="Times New Roman" w:hAnsi="Times New Roman" w:eastAsia="仿宋_GB2312" w:cs="Times New Roman"/>
          <w:sz w:val="32"/>
          <w:szCs w:val="32"/>
        </w:rPr>
      </w:pPr>
      <w:r>
        <w:rPr>
          <w:rFonts w:ascii="Times New Roman" w:hAnsi="Times New Roman" w:eastAsia="仿宋_GB2312" w:cs="Times New Roman"/>
          <w:sz w:val="32"/>
          <w:szCs w:val="32"/>
        </w:rPr>
        <w:t>年   月   日</w:t>
      </w:r>
    </w:p>
    <w:p/>
    <w:sectPr>
      <w:pgSz w:w="11906" w:h="16838"/>
      <w:pgMar w:top="1701"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7163A5"/>
    <w:rsid w:val="00095CC4"/>
    <w:rsid w:val="004267FC"/>
    <w:rsid w:val="00C06AD5"/>
    <w:rsid w:val="1169223D"/>
    <w:rsid w:val="301C48FC"/>
    <w:rsid w:val="4B7163A5"/>
    <w:rsid w:val="56891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市科技局</Company>
  <Pages>2</Pages>
  <Words>138</Words>
  <Characters>791</Characters>
  <Lines>6</Lines>
  <Paragraphs>1</Paragraphs>
  <TotalTime>32</TotalTime>
  <ScaleCrop>false</ScaleCrop>
  <LinksUpToDate>false</LinksUpToDate>
  <CharactersWithSpaces>928</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2020-08-19T01:25:00Z</dcterms:created>
  <dc:creator>168小姐</dc:creator>
  <cp:lastModifiedBy>冲</cp:lastModifiedBy>
  <cp:lastPrinted>2022-09-08T01:13:00Z</cp:lastPrinted>
  <dcterms:modified xsi:type="dcterms:W3CDTF">2023-11-03T03:20:32Z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9917FE42FC0B464D869BDDC7DB85C4B7</vt:lpwstr>
  </property>
</Properties>
</file>