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  <w:t>设备情况汇总表</w:t>
      </w:r>
    </w:p>
    <w:p>
      <w:pPr>
        <w:numPr>
          <w:numId w:val="0"/>
        </w:numPr>
        <w:ind w:left="420" w:left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数字化设备情况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情况汇总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207"/>
        <w:gridCol w:w="1332"/>
        <w:gridCol w:w="2080"/>
        <w:gridCol w:w="1459"/>
        <w:gridCol w:w="3539"/>
        <w:gridCol w:w="3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数字化设备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生产装备</w:t>
            </w:r>
          </w:p>
        </w:tc>
        <w:tc>
          <w:tcPr>
            <w:tcW w:w="250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（台）</w:t>
            </w:r>
          </w:p>
        </w:tc>
        <w:tc>
          <w:tcPr>
            <w:tcW w:w="4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（台）</w:t>
            </w:r>
          </w:p>
        </w:tc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数字化设备数量占生产装备总数量比例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（%）</w:t>
            </w:r>
          </w:p>
        </w:tc>
        <w:tc>
          <w:tcPr>
            <w:tcW w:w="12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资产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资产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数字化设备资产占生产装备总资产比例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（%）</w:t>
            </w:r>
          </w:p>
        </w:tc>
        <w:tc>
          <w:tcPr>
            <w:tcW w:w="12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清单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（企业自行编制清单，须清晰列出包括但不限于装备名称、装备数量、装备资产值、是否为数字化设备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设备联网率、数控设备联网率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情况汇总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34"/>
        <w:gridCol w:w="2834"/>
        <w:gridCol w:w="2834"/>
        <w:gridCol w:w="2834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设备总数量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（台）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联网设备数量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（台）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设备联网率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（%）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数控设备总数量（台）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数控设备联网率（%）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清单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（企业自行编制清单，须清晰列出包括但不限于设备名称、设备数量、是否联网、是否为数控设备等）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F73037"/>
    <w:multiLevelType w:val="singleLevel"/>
    <w:tmpl w:val="ACF7303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E8C4339C"/>
    <w:multiLevelType w:val="singleLevel"/>
    <w:tmpl w:val="E8C4339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2E83FDD6"/>
    <w:multiLevelType w:val="singleLevel"/>
    <w:tmpl w:val="2E83FDD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464C4129"/>
    <w:rsid w:val="1B132AFA"/>
    <w:rsid w:val="26246F11"/>
    <w:rsid w:val="464C4129"/>
    <w:rsid w:val="6D95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2024-03-07T01:50:00Z</dcterms:created>
  <dc:creator>李翠琳</dc:creator>
  <cp:lastModifiedBy>李翠琳</cp:lastModifiedBy>
  <dcterms:modified xsi:type="dcterms:W3CDTF">2024-03-07T02:21:20Z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C9EA541DBF0441BCA454543D8F6522A8_11</vt:lpwstr>
  </property>
</Properties>
</file>