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jc w:val="center"/>
        <w:rPr>
          <w:rFonts w:hint="default" w:asciiTheme="majorEastAsia" w:hAnsiTheme="majorEastAsia" w:eastAsiaTheme="majorEastAsia" w:cstheme="majorEastAsia"/>
          <w:bCs/>
          <w:kern w:val="0"/>
          <w:sz w:val="44"/>
          <w:szCs w:val="44"/>
          <w:lang w:val="en-US" w:eastAsia="zh-CN"/>
        </w:rPr>
      </w:pPr>
      <w:r>
        <w:rPr>
          <w:rFonts w:hint="eastAsia" w:asciiTheme="majorEastAsia" w:hAnsiTheme="majorEastAsia" w:eastAsiaTheme="majorEastAsia" w:cstheme="majorEastAsia"/>
          <w:b/>
          <w:bCs w:val="0"/>
          <w:kern w:val="0"/>
          <w:sz w:val="44"/>
          <w:szCs w:val="44"/>
        </w:rPr>
        <w:t>202</w:t>
      </w:r>
      <w:r>
        <w:rPr>
          <w:rFonts w:hint="eastAsia" w:asciiTheme="majorEastAsia" w:hAnsiTheme="majorEastAsia" w:eastAsiaTheme="majorEastAsia" w:cstheme="majorEastAsia"/>
          <w:b/>
          <w:bCs w:val="0"/>
          <w:kern w:val="0"/>
          <w:sz w:val="44"/>
          <w:szCs w:val="44"/>
          <w:lang w:val="en-US" w:eastAsia="zh-CN"/>
        </w:rPr>
        <w:t>5</w:t>
      </w:r>
      <w:r>
        <w:rPr>
          <w:rFonts w:hint="eastAsia" w:asciiTheme="majorEastAsia" w:hAnsiTheme="majorEastAsia" w:eastAsiaTheme="majorEastAsia" w:cstheme="majorEastAsia"/>
          <w:b/>
          <w:bCs w:val="0"/>
          <w:kern w:val="0"/>
          <w:sz w:val="44"/>
          <w:szCs w:val="44"/>
        </w:rPr>
        <w:t>年广州市促进商务高质量发展专项资金服务贸易专题</w:t>
      </w:r>
      <w:r>
        <w:rPr>
          <w:rFonts w:hint="eastAsia" w:asciiTheme="majorEastAsia" w:hAnsiTheme="majorEastAsia" w:eastAsiaTheme="majorEastAsia" w:cstheme="majorEastAsia"/>
          <w:b/>
          <w:bCs w:val="0"/>
          <w:kern w:val="0"/>
          <w:sz w:val="44"/>
          <w:szCs w:val="44"/>
          <w:lang w:val="en-US" w:eastAsia="zh-CN"/>
        </w:rPr>
        <w:t>（在岸业绩项目）申报文件</w:t>
      </w:r>
    </w:p>
    <w:p>
      <w:pPr>
        <w:adjustRightInd w:val="0"/>
        <w:snapToGrid w:val="0"/>
        <w:spacing w:line="560" w:lineRule="exact"/>
        <w:jc w:val="center"/>
        <w:rPr>
          <w:rFonts w:hint="eastAsia" w:ascii="方正小标宋简体" w:hAnsi="宋体" w:eastAsia="方正小标宋简体" w:cs="宋体"/>
          <w:color w:val="000000"/>
          <w:sz w:val="44"/>
          <w:szCs w:val="44"/>
        </w:rPr>
      </w:pPr>
    </w:p>
    <w:p>
      <w:pPr>
        <w:numPr>
          <w:ilvl w:val="0"/>
          <w:numId w:val="1"/>
        </w:numPr>
        <w:adjustRightInd w:val="0"/>
        <w:snapToGrid w:val="0"/>
        <w:spacing w:before="157" w:beforeLines="50" w:line="560" w:lineRule="exact"/>
        <w:ind w:firstLine="640" w:firstLineChars="200"/>
        <w:rPr>
          <w:rFonts w:hint="eastAsia" w:ascii="黑体" w:hAnsi="黑体" w:eastAsia="黑体" w:cs="宋体"/>
          <w:sz w:val="32"/>
          <w:szCs w:val="32"/>
        </w:rPr>
      </w:pPr>
      <w:r>
        <w:rPr>
          <w:rFonts w:hint="eastAsia" w:ascii="黑体" w:hAnsi="黑体" w:eastAsia="黑体" w:cs="宋体"/>
          <w:sz w:val="32"/>
          <w:szCs w:val="32"/>
        </w:rPr>
        <w:t>政策依据</w:t>
      </w:r>
    </w:p>
    <w:p>
      <w:pPr>
        <w:numPr>
          <w:ilvl w:val="0"/>
          <w:numId w:val="0"/>
        </w:num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《广州市商务局关于做好20</w:t>
      </w:r>
      <w:r>
        <w:rPr>
          <w:rFonts w:hint="eastAsia" w:eastAsia="仿宋_GB2312" w:cs="Times New Roman"/>
          <w:sz w:val="32"/>
          <w:szCs w:val="32"/>
          <w:lang w:val="en-US" w:eastAsia="zh-CN"/>
        </w:rPr>
        <w:t>25</w:t>
      </w:r>
      <w:r>
        <w:rPr>
          <w:rFonts w:hint="default" w:ascii="Times New Roman" w:hAnsi="Times New Roman" w:eastAsia="仿宋_GB2312" w:cs="Times New Roman"/>
          <w:sz w:val="32"/>
          <w:szCs w:val="32"/>
        </w:rPr>
        <w:t>年广州市促进商务高质量发展专项资金服务贸易专题有关工作的通知》</w:t>
      </w:r>
    </w:p>
    <w:p>
      <w:pPr>
        <w:adjustRightInd w:val="0"/>
        <w:snapToGrid w:val="0"/>
        <w:spacing w:before="156" w:beforeLines="50" w:line="560" w:lineRule="exact"/>
        <w:ind w:firstLine="640" w:firstLineChars="200"/>
        <w:rPr>
          <w:rFonts w:hint="eastAsia" w:ascii="黑体" w:hAnsi="黑体" w:eastAsia="黑体" w:cs="宋体"/>
          <w:sz w:val="32"/>
          <w:szCs w:val="32"/>
        </w:rPr>
      </w:pPr>
      <w:r>
        <w:rPr>
          <w:rFonts w:hint="eastAsia" w:ascii="黑体" w:hAnsi="黑体" w:eastAsia="黑体" w:cs="宋体"/>
          <w:sz w:val="32"/>
          <w:szCs w:val="32"/>
        </w:rPr>
        <w:t>二、申请条件</w:t>
      </w:r>
    </w:p>
    <w:p>
      <w:pPr>
        <w:pStyle w:val="5"/>
        <w:adjustRightInd w:val="0"/>
        <w:snapToGrid w:val="0"/>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1.在我区依法登记注册，从事服务贸</w:t>
      </w:r>
      <w:bookmarkStart w:id="0" w:name="_GoBack"/>
      <w:bookmarkEnd w:id="0"/>
      <w:r>
        <w:rPr>
          <w:rFonts w:hint="eastAsia" w:eastAsia="仿宋_GB2312"/>
          <w:sz w:val="32"/>
          <w:szCs w:val="32"/>
          <w:lang w:val="en-US" w:eastAsia="zh-CN"/>
        </w:rPr>
        <w:t>易、服务外包业务的企事业单位、社会团体及其他相关单位；</w:t>
      </w:r>
    </w:p>
    <w:p>
      <w:pPr>
        <w:pStyle w:val="5"/>
        <w:adjustRightInd w:val="0"/>
        <w:snapToGrid w:val="0"/>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根据申报业务类型，已在商务部业务系统统一平台的服务外包及软件出口信息管理应用系统（企业端），或服务贸易统计监测管理业务应用系统（企业端），或技术贸易管理信息应用系统（企业端）中登统相应业务数据；</w:t>
      </w:r>
    </w:p>
    <w:p>
      <w:pPr>
        <w:pStyle w:val="5"/>
        <w:adjustRightInd w:val="0"/>
        <w:snapToGrid w:val="0"/>
        <w:spacing w:line="560" w:lineRule="exact"/>
        <w:ind w:firstLine="640" w:firstLineChars="200"/>
        <w:rPr>
          <w:rFonts w:hint="eastAsia" w:eastAsia="仿宋_GB2312"/>
          <w:kern w:val="0"/>
          <w:sz w:val="32"/>
          <w:szCs w:val="32"/>
          <w:lang w:val="zh-CN"/>
        </w:rPr>
      </w:pPr>
      <w:r>
        <w:rPr>
          <w:rFonts w:hint="eastAsia" w:eastAsia="仿宋_GB2312"/>
          <w:sz w:val="32"/>
          <w:szCs w:val="32"/>
          <w:lang w:val="en-US" w:eastAsia="zh-CN"/>
        </w:rPr>
        <w:t>3.依据信用管理部门规定，未被列入“失信联合惩戒黑名单”；</w:t>
      </w:r>
    </w:p>
    <w:p>
      <w:pPr>
        <w:pStyle w:val="5"/>
        <w:adjustRightInd w:val="0"/>
        <w:snapToGrid w:val="0"/>
        <w:spacing w:line="560" w:lineRule="exact"/>
        <w:ind w:firstLine="640" w:firstLineChars="200"/>
        <w:rPr>
          <w:rFonts w:hint="default" w:eastAsia="仿宋_GB2312"/>
          <w:kern w:val="0"/>
          <w:sz w:val="32"/>
          <w:szCs w:val="32"/>
          <w:lang w:val="en-US" w:eastAsia="zh-CN"/>
        </w:rPr>
      </w:pPr>
      <w:r>
        <w:rPr>
          <w:rFonts w:hint="eastAsia" w:eastAsia="仿宋_GB2312"/>
          <w:kern w:val="0"/>
          <w:sz w:val="32"/>
          <w:szCs w:val="32"/>
          <w:lang w:val="en-US" w:eastAsia="zh-CN"/>
        </w:rPr>
        <w:t>4.企业于2023年1月1日至12月31日开展服务外包在岸业务达到50万美元（含）以上</w:t>
      </w:r>
      <w:r>
        <w:rPr>
          <w:rFonts w:hint="eastAsia" w:eastAsia="仿宋_GB2312" w:cs="Times New Roman"/>
          <w:kern w:val="2"/>
          <w:sz w:val="32"/>
          <w:szCs w:val="28"/>
          <w:lang w:val="en-US" w:eastAsia="zh-CN" w:bidi="ar-SA"/>
        </w:rPr>
        <w:t>。</w:t>
      </w:r>
    </w:p>
    <w:p>
      <w:pPr>
        <w:numPr>
          <w:ilvl w:val="-1"/>
          <w:numId w:val="0"/>
        </w:numPr>
        <w:adjustRightInd w:val="0"/>
        <w:snapToGrid w:val="0"/>
        <w:spacing w:before="156" w:beforeLines="50" w:line="560" w:lineRule="exact"/>
        <w:ind w:firstLine="640" w:firstLineChars="200"/>
        <w:rPr>
          <w:rFonts w:hint="eastAsia" w:ascii="黑体" w:hAnsi="黑体" w:eastAsia="黑体" w:cs="宋体"/>
          <w:sz w:val="32"/>
          <w:szCs w:val="32"/>
          <w:lang w:val="en-US" w:eastAsia="zh-CN"/>
        </w:rPr>
      </w:pPr>
      <w:r>
        <w:rPr>
          <w:rFonts w:hint="eastAsia" w:ascii="黑体" w:hAnsi="黑体" w:eastAsia="黑体" w:cs="宋体"/>
          <w:sz w:val="32"/>
          <w:szCs w:val="32"/>
          <w:lang w:eastAsia="zh-CN"/>
        </w:rPr>
        <w:t>三、</w:t>
      </w:r>
      <w:r>
        <w:rPr>
          <w:rFonts w:hint="eastAsia" w:ascii="黑体" w:hAnsi="黑体" w:eastAsia="黑体" w:cs="宋体"/>
          <w:sz w:val="32"/>
          <w:szCs w:val="32"/>
          <w:lang w:val="en-US" w:eastAsia="zh-CN"/>
        </w:rPr>
        <w:t>申报时间</w:t>
      </w:r>
    </w:p>
    <w:p>
      <w:pPr>
        <w:numPr>
          <w:ilvl w:val="-1"/>
          <w:numId w:val="0"/>
        </w:numPr>
        <w:adjustRightInd w:val="0"/>
        <w:snapToGrid w:val="0"/>
        <w:spacing w:before="0" w:beforeLines="0"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“政策兑现”窗口定期集中受理，集中受理事项以当批次规定的最后收件日作为正式收件日期，逾期不申请视同自动放弃。</w:t>
      </w:r>
    </w:p>
    <w:p>
      <w:pPr>
        <w:numPr>
          <w:ilvl w:val="0"/>
          <w:numId w:val="2"/>
        </w:numPr>
        <w:adjustRightInd w:val="0"/>
        <w:snapToGrid w:val="0"/>
        <w:spacing w:before="157" w:beforeLines="50" w:line="560" w:lineRule="exact"/>
        <w:ind w:firstLine="640" w:firstLineChars="200"/>
        <w:rPr>
          <w:rFonts w:hint="eastAsia" w:ascii="黑体" w:hAnsi="黑体" w:eastAsia="黑体" w:cs="宋体"/>
          <w:sz w:val="32"/>
          <w:szCs w:val="32"/>
          <w:lang w:eastAsia="zh-CN"/>
        </w:rPr>
      </w:pPr>
      <w:r>
        <w:rPr>
          <w:rFonts w:hint="eastAsia" w:ascii="黑体" w:hAnsi="黑体" w:eastAsia="黑体" w:cs="宋体"/>
          <w:sz w:val="32"/>
          <w:szCs w:val="32"/>
        </w:rPr>
        <w:t>资助标准</w:t>
      </w:r>
    </w:p>
    <w:p>
      <w:pPr>
        <w:numPr>
          <w:ilvl w:val="0"/>
          <w:numId w:val="0"/>
        </w:numPr>
        <w:spacing w:line="574" w:lineRule="exact"/>
        <w:ind w:firstLine="640" w:firstLineChars="200"/>
        <w:rPr>
          <w:rFonts w:hint="default" w:eastAsia="仿宋_GB2312" w:cs="Times New Roman"/>
          <w:kern w:val="2"/>
          <w:sz w:val="32"/>
          <w:szCs w:val="28"/>
          <w:lang w:val="en-US" w:eastAsia="zh-CN" w:bidi="ar-SA"/>
        </w:rPr>
      </w:pPr>
      <w:r>
        <w:rPr>
          <w:rFonts w:hint="eastAsia" w:eastAsia="仿宋_GB2312" w:cs="Times New Roman"/>
          <w:kern w:val="2"/>
          <w:sz w:val="32"/>
          <w:szCs w:val="28"/>
          <w:lang w:val="en-US" w:eastAsia="zh-CN" w:bidi="ar-SA"/>
        </w:rPr>
        <w:t>对2023年1月1日至12月31日开展服务外包在岸业务达到50万美元（含）以上的企业给予最高不超过100万元奖励。</w:t>
      </w:r>
    </w:p>
    <w:p>
      <w:pPr>
        <w:pStyle w:val="7"/>
        <w:spacing w:before="157" w:beforeLines="50" w:line="560" w:lineRule="exact"/>
        <w:ind w:firstLine="640" w:firstLineChars="200"/>
        <w:rPr>
          <w:rFonts w:hint="eastAsia" w:ascii="黑体" w:hAnsi="黑体" w:eastAsia="黑体" w:cs="宋体"/>
          <w:sz w:val="32"/>
          <w:szCs w:val="32"/>
        </w:rPr>
      </w:pPr>
      <w:r>
        <w:rPr>
          <w:rFonts w:hint="eastAsia" w:ascii="黑体" w:hAnsi="黑体" w:eastAsia="黑体" w:cs="宋体"/>
          <w:sz w:val="32"/>
          <w:szCs w:val="32"/>
        </w:rPr>
        <w:t>五、申请材料</w:t>
      </w:r>
    </w:p>
    <w:p>
      <w:pPr>
        <w:pStyle w:val="7"/>
        <w:numPr>
          <w:ilvl w:val="-1"/>
          <w:numId w:val="0"/>
        </w:numPr>
        <w:spacing w:line="560" w:lineRule="exact"/>
        <w:ind w:firstLine="640" w:firstLineChars="200"/>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kern w:val="0"/>
          <w:sz w:val="32"/>
          <w:szCs w:val="32"/>
        </w:rPr>
        <w:t>以下材料</w:t>
      </w:r>
      <w:r>
        <w:rPr>
          <w:rFonts w:hint="eastAsia" w:ascii="仿宋_GB2312" w:hAnsi="仿宋_GB2312" w:eastAsia="仿宋_GB2312" w:cs="仿宋_GB2312"/>
          <w:b/>
          <w:bCs/>
          <w:kern w:val="0"/>
          <w:sz w:val="32"/>
          <w:szCs w:val="32"/>
        </w:rPr>
        <w:t>一式</w:t>
      </w:r>
      <w:r>
        <w:rPr>
          <w:rFonts w:hint="eastAsia" w:ascii="仿宋_GB2312" w:hAnsi="仿宋_GB2312" w:eastAsia="仿宋_GB2312" w:cs="仿宋_GB2312"/>
          <w:b/>
          <w:bCs/>
          <w:kern w:val="0"/>
          <w:sz w:val="32"/>
          <w:szCs w:val="32"/>
          <w:lang w:val="en-US" w:eastAsia="zh-CN"/>
        </w:rPr>
        <w:t>一</w:t>
      </w:r>
      <w:r>
        <w:rPr>
          <w:rFonts w:hint="eastAsia" w:ascii="仿宋_GB2312" w:hAnsi="仿宋_GB2312" w:eastAsia="仿宋_GB2312" w:cs="仿宋_GB2312"/>
          <w:b/>
          <w:bCs/>
          <w:kern w:val="0"/>
          <w:sz w:val="32"/>
          <w:szCs w:val="32"/>
        </w:rPr>
        <w:t>份</w:t>
      </w:r>
      <w:r>
        <w:rPr>
          <w:rFonts w:hint="eastAsia" w:ascii="仿宋_GB2312" w:hAnsi="仿宋_GB2312" w:eastAsia="仿宋_GB2312" w:cs="仿宋_GB2312"/>
          <w:kern w:val="0"/>
          <w:sz w:val="32"/>
          <w:szCs w:val="32"/>
        </w:rPr>
        <w:t>，用A4纸</w:t>
      </w:r>
      <w:r>
        <w:rPr>
          <w:rFonts w:hint="eastAsia" w:ascii="仿宋_GB2312" w:hAnsi="仿宋_GB2312" w:eastAsia="仿宋_GB2312" w:cs="仿宋_GB2312"/>
          <w:kern w:val="0"/>
          <w:sz w:val="32"/>
          <w:szCs w:val="32"/>
          <w:lang w:val="en-US" w:eastAsia="zh-CN"/>
        </w:rPr>
        <w:t>打印</w:t>
      </w:r>
      <w:r>
        <w:rPr>
          <w:rFonts w:hint="eastAsia" w:ascii="仿宋_GB2312" w:hAnsi="仿宋_GB2312" w:eastAsia="仿宋_GB2312" w:cs="仿宋_GB2312"/>
          <w:kern w:val="0"/>
          <w:sz w:val="32"/>
          <w:szCs w:val="32"/>
        </w:rPr>
        <w:t>装订成册并骑缝盖单位公章（封面须注明：单位名称和申请项目名称</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b w:val="0"/>
          <w:bCs w:val="0"/>
          <w:kern w:val="0"/>
          <w:sz w:val="32"/>
          <w:szCs w:val="32"/>
        </w:rPr>
        <w:t>202</w:t>
      </w:r>
      <w:r>
        <w:rPr>
          <w:rFonts w:hint="eastAsia" w:ascii="仿宋_GB2312" w:hAnsi="仿宋_GB2312" w:eastAsia="仿宋_GB2312" w:cs="仿宋_GB2312"/>
          <w:b w:val="0"/>
          <w:bCs w:val="0"/>
          <w:kern w:val="0"/>
          <w:sz w:val="32"/>
          <w:szCs w:val="32"/>
          <w:lang w:val="en-US" w:eastAsia="zh-CN"/>
        </w:rPr>
        <w:t>5</w:t>
      </w:r>
      <w:r>
        <w:rPr>
          <w:rFonts w:hint="eastAsia" w:ascii="仿宋_GB2312" w:hAnsi="仿宋_GB2312" w:eastAsia="仿宋_GB2312" w:cs="仿宋_GB2312"/>
          <w:b w:val="0"/>
          <w:bCs w:val="0"/>
          <w:kern w:val="0"/>
          <w:sz w:val="32"/>
          <w:szCs w:val="32"/>
        </w:rPr>
        <w:t>年广州市促进商务高质量发展专项资金服务贸易专题</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并加盖单位公章；按申报所需材料的先后顺序装订，且需编写目录及对应的页码），在办理申请审批时提供，除《广州开发区政策兑现事项材料清单》外，其他材料需在黄埔兑现通—政策兑现综合服务平台中扫描上传：</w:t>
      </w:r>
    </w:p>
    <w:p>
      <w:pPr>
        <w:pageBreakBefore w:val="0"/>
        <w:widowControl/>
        <w:tabs>
          <w:tab w:val="left" w:pos="6663"/>
        </w:tabs>
        <w:kinsoku/>
        <w:wordWrap/>
        <w:overflowPunct/>
        <w:topLinePunct w:val="0"/>
        <w:autoSpaceDE/>
        <w:autoSpaceDN/>
        <w:bidi w:val="0"/>
        <w:spacing w:line="560" w:lineRule="exact"/>
        <w:ind w:leftChars="0" w:firstLine="0" w:firstLineChars="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w:t>
      </w:r>
      <w:r>
        <w:rPr>
          <w:rFonts w:hint="eastAsia" w:ascii="仿宋_GB2312" w:eastAsia="仿宋_GB2312"/>
          <w:b/>
          <w:bCs/>
          <w:color w:val="auto"/>
          <w:sz w:val="32"/>
          <w:szCs w:val="32"/>
          <w:highlight w:val="none"/>
          <w:lang w:val="en-US" w:eastAsia="zh-CN"/>
        </w:rPr>
        <w:t xml:space="preserve"> </w:t>
      </w:r>
      <w:r>
        <w:rPr>
          <w:rFonts w:hint="eastAsia" w:ascii="仿宋_GB2312" w:eastAsia="仿宋_GB2312"/>
          <w:b/>
          <w:bCs/>
          <w:color w:val="auto"/>
          <w:sz w:val="32"/>
          <w:szCs w:val="32"/>
          <w:highlight w:val="none"/>
          <w:lang w:eastAsia="zh-CN"/>
        </w:rPr>
        <w:t>（</w:t>
      </w: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lang w:eastAsia="zh-CN"/>
        </w:rPr>
        <w:t>）</w:t>
      </w:r>
      <w:r>
        <w:rPr>
          <w:rFonts w:hint="eastAsia" w:ascii="仿宋_GB2312" w:eastAsia="仿宋_GB2312"/>
          <w:b/>
          <w:bCs/>
          <w:color w:val="auto"/>
          <w:sz w:val="32"/>
          <w:szCs w:val="32"/>
          <w:highlight w:val="none"/>
          <w:lang w:val="en-US" w:eastAsia="zh-CN"/>
        </w:rPr>
        <w:t>基础材料</w:t>
      </w:r>
    </w:p>
    <w:p>
      <w:pPr>
        <w:adjustRightInd w:val="0"/>
        <w:snapToGrid w:val="0"/>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w:t>
      </w:r>
      <w:r>
        <w:rPr>
          <w:rFonts w:hint="eastAsia" w:ascii="仿宋_GB2312" w:hAnsi="仿宋" w:eastAsia="仿宋_GB2312" w:cs="仿宋"/>
          <w:color w:val="000000"/>
          <w:sz w:val="32"/>
          <w:szCs w:val="32"/>
        </w:rPr>
        <w:t>《</w:t>
      </w:r>
      <w:r>
        <w:rPr>
          <w:rFonts w:hint="eastAsia" w:ascii="仿宋_GB2312" w:hAnsi="仿宋" w:eastAsia="仿宋_GB2312" w:cs="仿宋"/>
          <w:color w:val="000000"/>
          <w:sz w:val="32"/>
          <w:szCs w:val="32"/>
          <w:lang w:val="en-US" w:eastAsia="zh-CN"/>
        </w:rPr>
        <w:t>2025年广州市促进商务高质量发展专项资金服务贸易专题申请书</w:t>
      </w:r>
      <w:r>
        <w:rPr>
          <w:rFonts w:hint="eastAsia" w:ascii="仿宋_GB2312" w:hAnsi="仿宋" w:eastAsia="仿宋_GB2312" w:cs="仿宋"/>
          <w:color w:val="000000"/>
          <w:sz w:val="32"/>
          <w:szCs w:val="32"/>
        </w:rPr>
        <w:t>》（</w:t>
      </w:r>
      <w:r>
        <w:rPr>
          <w:rFonts w:hint="eastAsia" w:ascii="仿宋_GB2312" w:hAnsi="仿宋" w:eastAsia="仿宋_GB2312" w:cs="仿宋"/>
          <w:b/>
          <w:bCs/>
          <w:color w:val="000000"/>
          <w:sz w:val="32"/>
          <w:szCs w:val="32"/>
          <w:lang w:eastAsia="zh-CN"/>
        </w:rPr>
        <w:t>原件</w:t>
      </w:r>
      <w:r>
        <w:rPr>
          <w:rFonts w:hint="eastAsia" w:ascii="仿宋_GB2312" w:hAnsi="仿宋" w:eastAsia="仿宋_GB2312" w:cs="仿宋"/>
          <w:color w:val="000000"/>
          <w:sz w:val="32"/>
          <w:szCs w:val="32"/>
          <w:lang w:eastAsia="zh-CN"/>
        </w:rPr>
        <w:t>，加盖单位公章</w:t>
      </w:r>
      <w:r>
        <w:rPr>
          <w:rFonts w:hint="eastAsia" w:ascii="仿宋_GB2312" w:hAnsi="仿宋" w:eastAsia="仿宋_GB2312" w:cs="仿宋"/>
          <w:color w:val="000000"/>
          <w:sz w:val="32"/>
          <w:szCs w:val="32"/>
        </w:rPr>
        <w:t>）</w:t>
      </w:r>
      <w:r>
        <w:rPr>
          <w:rFonts w:hint="eastAsia" w:ascii="仿宋_GB2312" w:hAnsi="仿宋" w:eastAsia="仿宋_GB2312" w:cs="仿宋"/>
          <w:sz w:val="32"/>
          <w:szCs w:val="32"/>
        </w:rPr>
        <w:t>；</w:t>
      </w:r>
    </w:p>
    <w:p>
      <w:pPr>
        <w:pStyle w:val="7"/>
        <w:spacing w:line="560" w:lineRule="exact"/>
        <w:ind w:firstLine="640" w:firstLineChars="200"/>
        <w:rPr>
          <w:rFonts w:hint="eastAsia" w:ascii="仿宋_GB2312" w:hAnsi="仿宋_GB2312" w:eastAsia="仿宋_GB2312"/>
          <w:sz w:val="32"/>
          <w:szCs w:val="28"/>
        </w:rPr>
      </w:pPr>
      <w:r>
        <w:rPr>
          <w:rFonts w:hint="eastAsia" w:ascii="仿宋_GB2312" w:eastAsia="仿宋_GB2312" w:cs="仿宋_GB2312"/>
          <w:sz w:val="32"/>
          <w:szCs w:val="32"/>
          <w:lang w:val="en-US" w:eastAsia="zh-CN"/>
        </w:rPr>
        <w:t>2</w:t>
      </w:r>
      <w:r>
        <w:rPr>
          <w:rFonts w:hint="eastAsia" w:ascii="仿宋_GB2312" w:eastAsia="仿宋_GB2312" w:cs="仿宋_GB2312"/>
          <w:sz w:val="32"/>
          <w:szCs w:val="32"/>
        </w:rPr>
        <w:t>.</w:t>
      </w:r>
      <w:r>
        <w:rPr>
          <w:rFonts w:hint="eastAsia" w:ascii="仿宋_GB2312" w:eastAsia="仿宋_GB2312" w:cs="仿宋_GB2312"/>
          <w:sz w:val="32"/>
          <w:szCs w:val="32"/>
          <w:lang w:val="en-US" w:eastAsia="zh-CN"/>
        </w:rPr>
        <w:t>工商</w:t>
      </w:r>
      <w:r>
        <w:rPr>
          <w:rFonts w:hint="eastAsia" w:ascii="仿宋_GB2312" w:eastAsia="仿宋_GB2312" w:cs="仿宋_GB2312"/>
          <w:sz w:val="32"/>
          <w:szCs w:val="32"/>
        </w:rPr>
        <w:t>营业执照（复印件</w:t>
      </w:r>
      <w:r>
        <w:rPr>
          <w:rFonts w:hint="eastAsia" w:ascii="仿宋_GB2312" w:eastAsia="仿宋_GB2312" w:cs="仿宋_GB2312"/>
          <w:sz w:val="32"/>
          <w:szCs w:val="32"/>
          <w:lang w:eastAsia="zh-CN"/>
        </w:rPr>
        <w:t>，</w:t>
      </w:r>
      <w:r>
        <w:rPr>
          <w:rFonts w:hint="eastAsia" w:ascii="仿宋_GB2312" w:eastAsia="仿宋_GB2312" w:cs="仿宋_GB2312"/>
          <w:sz w:val="32"/>
          <w:szCs w:val="32"/>
        </w:rPr>
        <w:t>加盖单位公章；</w:t>
      </w:r>
      <w:r>
        <w:rPr>
          <w:rFonts w:hint="eastAsia" w:ascii="仿宋_GB2312" w:eastAsia="仿宋_GB2312" w:cs="仿宋_GB2312"/>
          <w:b/>
          <w:bCs/>
          <w:sz w:val="32"/>
          <w:szCs w:val="32"/>
        </w:rPr>
        <w:t>若</w:t>
      </w:r>
      <w:r>
        <w:rPr>
          <w:rFonts w:hint="eastAsia" w:ascii="仿宋_GB2312" w:hAnsi="仿宋" w:eastAsia="仿宋_GB2312" w:cs="仿宋"/>
          <w:b/>
          <w:bCs/>
          <w:sz w:val="32"/>
          <w:szCs w:val="32"/>
        </w:rPr>
        <w:t>相关工商信息有变更的</w:t>
      </w:r>
      <w:r>
        <w:rPr>
          <w:rFonts w:hint="eastAsia" w:ascii="仿宋_GB2312" w:hAnsi="仿宋" w:eastAsia="仿宋_GB2312" w:cs="仿宋"/>
          <w:b/>
          <w:bCs/>
          <w:sz w:val="32"/>
          <w:szCs w:val="32"/>
          <w:lang w:eastAsia="zh-CN"/>
        </w:rPr>
        <w:t>必须</w:t>
      </w:r>
      <w:r>
        <w:rPr>
          <w:rFonts w:hint="eastAsia" w:ascii="仿宋_GB2312" w:hAnsi="仿宋" w:eastAsia="仿宋_GB2312" w:cs="仿宋"/>
          <w:b/>
          <w:bCs/>
          <w:sz w:val="32"/>
          <w:szCs w:val="32"/>
        </w:rPr>
        <w:t>提交工商变更核准通知书</w:t>
      </w:r>
      <w:r>
        <w:rPr>
          <w:rFonts w:hint="eastAsia" w:ascii="仿宋_GB2312" w:hAnsi="仿宋" w:eastAsia="仿宋_GB2312" w:cs="仿宋"/>
          <w:b/>
          <w:bCs/>
          <w:sz w:val="32"/>
          <w:szCs w:val="32"/>
          <w:lang w:eastAsia="zh-CN"/>
        </w:rPr>
        <w:t>的复印件</w:t>
      </w:r>
      <w:r>
        <w:rPr>
          <w:rFonts w:hint="eastAsia" w:ascii="仿宋_GB2312" w:hAnsi="仿宋" w:eastAsia="仿宋_GB2312" w:cs="仿宋"/>
          <w:b/>
          <w:bCs/>
          <w:sz w:val="32"/>
          <w:szCs w:val="32"/>
        </w:rPr>
        <w:t>，</w:t>
      </w:r>
      <w:r>
        <w:rPr>
          <w:rFonts w:hint="eastAsia" w:ascii="仿宋_GB2312" w:eastAsia="仿宋_GB2312" w:cs="仿宋_GB2312"/>
          <w:b/>
          <w:bCs/>
          <w:sz w:val="32"/>
          <w:szCs w:val="32"/>
          <w:lang w:eastAsia="zh-CN"/>
        </w:rPr>
        <w:t>并</w:t>
      </w:r>
      <w:r>
        <w:rPr>
          <w:rFonts w:hint="eastAsia" w:ascii="仿宋_GB2312" w:hAnsi="仿宋" w:eastAsia="仿宋_GB2312" w:cs="仿宋"/>
          <w:b/>
          <w:bCs/>
          <w:sz w:val="32"/>
          <w:szCs w:val="32"/>
        </w:rPr>
        <w:t>加盖单位公章</w:t>
      </w:r>
      <w:r>
        <w:rPr>
          <w:rFonts w:hint="eastAsia" w:ascii="仿宋_GB2312" w:eastAsia="仿宋_GB2312" w:cs="仿宋_GB2312"/>
          <w:sz w:val="32"/>
          <w:szCs w:val="32"/>
        </w:rPr>
        <w:t>）</w:t>
      </w:r>
      <w:r>
        <w:rPr>
          <w:rFonts w:hint="eastAsia" w:ascii="仿宋_GB2312" w:hAnsi="仿宋_GB2312" w:eastAsia="仿宋_GB2312"/>
          <w:sz w:val="32"/>
          <w:szCs w:val="28"/>
        </w:rPr>
        <w:t>；</w:t>
      </w:r>
    </w:p>
    <w:p>
      <w:pPr>
        <w:pStyle w:val="7"/>
        <w:spacing w:line="560" w:lineRule="exact"/>
        <w:ind w:firstLine="640" w:firstLineChars="200"/>
        <w:rPr>
          <w:rFonts w:hint="eastAsia" w:ascii="仿宋_GB2312" w:eastAsia="仿宋_GB2312"/>
          <w:color w:val="auto"/>
          <w:sz w:val="32"/>
          <w:szCs w:val="32"/>
          <w:highlight w:val="none"/>
          <w:lang w:eastAsia="zh-CN"/>
        </w:rPr>
      </w:pPr>
      <w:r>
        <w:rPr>
          <w:rFonts w:hint="eastAsia" w:ascii="仿宋_GB2312" w:hAnsi="仿宋_GB2312" w:eastAsia="仿宋_GB2312"/>
          <w:sz w:val="32"/>
          <w:szCs w:val="28"/>
          <w:lang w:val="en-US" w:eastAsia="zh-CN"/>
        </w:rPr>
        <w:t>3.</w:t>
      </w:r>
      <w:r>
        <w:rPr>
          <w:rFonts w:ascii="仿宋_GB2312" w:eastAsia="仿宋_GB2312"/>
          <w:color w:val="auto"/>
          <w:sz w:val="32"/>
          <w:szCs w:val="32"/>
          <w:highlight w:val="none"/>
        </w:rPr>
        <w:t>承诺书</w:t>
      </w:r>
      <w:r>
        <w:rPr>
          <w:rFonts w:hint="eastAsia" w:ascii="仿宋_GB2312" w:eastAsia="仿宋_GB2312"/>
          <w:color w:val="auto"/>
          <w:sz w:val="32"/>
          <w:szCs w:val="32"/>
          <w:highlight w:val="none"/>
          <w:lang w:eastAsia="zh-CN"/>
        </w:rPr>
        <w:t>（</w:t>
      </w:r>
      <w:r>
        <w:rPr>
          <w:rFonts w:hint="eastAsia" w:ascii="仿宋_GB2312" w:eastAsia="仿宋_GB2312"/>
          <w:b/>
          <w:bCs/>
          <w:color w:val="auto"/>
          <w:sz w:val="32"/>
          <w:szCs w:val="32"/>
          <w:highlight w:val="none"/>
          <w:lang w:eastAsia="zh-CN"/>
        </w:rPr>
        <w:t>原件</w:t>
      </w:r>
      <w:r>
        <w:rPr>
          <w:rFonts w:hint="eastAsia" w:ascii="仿宋_GB2312" w:eastAsia="仿宋_GB2312"/>
          <w:color w:val="auto"/>
          <w:sz w:val="32"/>
          <w:szCs w:val="32"/>
          <w:highlight w:val="none"/>
          <w:lang w:eastAsia="zh-CN"/>
        </w:rPr>
        <w:t>，法定（授权）代表人签章并加盖单位公章）。</w:t>
      </w:r>
    </w:p>
    <w:p>
      <w:pPr>
        <w:pageBreakBefore w:val="0"/>
        <w:widowControl/>
        <w:tabs>
          <w:tab w:val="left" w:pos="6663"/>
        </w:tabs>
        <w:kinsoku/>
        <w:wordWrap/>
        <w:overflowPunct/>
        <w:topLinePunct w:val="0"/>
        <w:autoSpaceDE/>
        <w:autoSpaceDN/>
        <w:bidi w:val="0"/>
        <w:spacing w:line="560" w:lineRule="exact"/>
        <w:ind w:leftChars="0" w:firstLine="643" w:firstLineChars="200"/>
        <w:textAlignment w:val="auto"/>
        <w:rPr>
          <w:rFonts w:hint="eastAsia" w:ascii="仿宋_GB2312" w:eastAsia="仿宋_GB2312"/>
          <w:b/>
          <w:bCs/>
          <w:color w:val="auto"/>
          <w:sz w:val="32"/>
          <w:szCs w:val="32"/>
          <w:highlight w:val="none"/>
          <w:lang w:val="en-US" w:eastAsia="zh-CN"/>
        </w:rPr>
      </w:pPr>
      <w:r>
        <w:rPr>
          <w:rFonts w:hint="eastAsia" w:ascii="仿宋_GB2312" w:eastAsia="仿宋_GB2312"/>
          <w:b/>
          <w:bCs/>
          <w:color w:val="auto"/>
          <w:sz w:val="32"/>
          <w:szCs w:val="32"/>
          <w:highlight w:val="none"/>
          <w:lang w:eastAsia="zh-CN"/>
        </w:rPr>
        <w:t>（</w:t>
      </w: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lang w:eastAsia="zh-CN"/>
        </w:rPr>
        <w:t>）</w:t>
      </w:r>
      <w:r>
        <w:rPr>
          <w:rFonts w:hint="eastAsia" w:ascii="仿宋_GB2312" w:eastAsia="仿宋_GB2312"/>
          <w:b/>
          <w:bCs/>
          <w:color w:val="auto"/>
          <w:sz w:val="32"/>
          <w:szCs w:val="32"/>
          <w:highlight w:val="none"/>
          <w:lang w:val="en-US" w:eastAsia="zh-CN"/>
        </w:rPr>
        <w:t>除基</w:t>
      </w:r>
      <w:r>
        <w:rPr>
          <w:rFonts w:hint="eastAsia" w:ascii="仿宋_GB2312" w:hAnsi="仿宋_GB2312" w:eastAsia="仿宋_GB2312" w:cs="仿宋_GB2312"/>
          <w:b/>
          <w:bCs/>
          <w:kern w:val="0"/>
          <w:sz w:val="32"/>
          <w:szCs w:val="32"/>
          <w:lang w:val="en-US" w:eastAsia="zh-CN"/>
        </w:rPr>
        <w:t>础</w:t>
      </w:r>
      <w:r>
        <w:rPr>
          <w:rFonts w:hint="eastAsia" w:ascii="仿宋_GB2312" w:eastAsia="仿宋_GB2312"/>
          <w:b/>
          <w:bCs/>
          <w:color w:val="auto"/>
          <w:sz w:val="32"/>
          <w:szCs w:val="32"/>
          <w:highlight w:val="none"/>
          <w:lang w:val="en-US" w:eastAsia="zh-CN"/>
        </w:rPr>
        <w:t>材料外，还需选择以下两种方式之一提供申报资料：</w:t>
      </w:r>
    </w:p>
    <w:p>
      <w:pPr>
        <w:pageBreakBefore w:val="0"/>
        <w:widowControl/>
        <w:tabs>
          <w:tab w:val="left" w:pos="6663"/>
        </w:tabs>
        <w:kinsoku/>
        <w:wordWrap/>
        <w:overflowPunct/>
        <w:topLinePunct w:val="0"/>
        <w:autoSpaceDE/>
        <w:autoSpaceDN/>
        <w:bidi w:val="0"/>
        <w:spacing w:line="560" w:lineRule="exact"/>
        <w:ind w:leftChars="0" w:firstLine="643" w:firstLineChars="200"/>
        <w:textAlignment w:val="auto"/>
        <w:rPr>
          <w:rFonts w:hint="default" w:ascii="仿宋_GB2312" w:eastAsia="仿宋_GB2312"/>
          <w:b/>
          <w:bCs/>
          <w:color w:val="auto"/>
          <w:sz w:val="32"/>
          <w:szCs w:val="32"/>
          <w:highlight w:val="none"/>
          <w:lang w:val="en-US" w:eastAsia="zh-CN"/>
        </w:rPr>
      </w:pPr>
      <w:r>
        <w:rPr>
          <w:rFonts w:hint="eastAsia" w:ascii="仿宋_GB2312" w:eastAsia="仿宋_GB2312"/>
          <w:b/>
          <w:bCs/>
          <w:color w:val="auto"/>
          <w:sz w:val="32"/>
          <w:szCs w:val="32"/>
          <w:highlight w:val="none"/>
          <w:lang w:val="en-US" w:eastAsia="zh-CN"/>
        </w:rPr>
        <w:t>方式一：</w:t>
      </w:r>
    </w:p>
    <w:p>
      <w:pPr>
        <w:pStyle w:val="7"/>
        <w:spacing w:line="560" w:lineRule="exact"/>
        <w:ind w:firstLine="640" w:firstLineChars="200"/>
        <w:rPr>
          <w:rFonts w:hint="eastAsia" w:ascii="仿宋_GB2312" w:hAnsi="Calibri"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《广州开发区政策兑现事项材料清单》（该清单在政策兑现服务信息系统预审通过后系统自动生成，请自行打印并在提交纸质材料时一并提交，经办人签名）；</w:t>
      </w:r>
    </w:p>
    <w:p>
      <w:pPr>
        <w:pStyle w:val="6"/>
        <w:spacing w:line="560" w:lineRule="exact"/>
        <w:ind w:firstLine="640" w:firstLineChars="200"/>
        <w:rPr>
          <w:rFonts w:hint="eastAsia" w:ascii="仿宋_GB2312" w:hAnsi="仿宋_GB2312" w:eastAsia="仿宋_GB2312" w:cs="仿宋_GB2312"/>
          <w:sz w:val="32"/>
          <w:szCs w:val="28"/>
          <w:lang w:val="en-US" w:eastAsia="zh-CN"/>
        </w:rPr>
      </w:pPr>
      <w:r>
        <w:rPr>
          <w:rFonts w:hint="eastAsia" w:ascii="仿宋_GB2312" w:hAnsi="仿宋_GB2312" w:eastAsia="仿宋_GB2312"/>
          <w:sz w:val="32"/>
          <w:szCs w:val="28"/>
          <w:lang w:val="en-US" w:eastAsia="zh-CN"/>
        </w:rPr>
        <w:t>2</w:t>
      </w:r>
      <w:r>
        <w:rPr>
          <w:rFonts w:hint="eastAsia" w:ascii="仿宋_GB2312" w:hAnsi="仿宋_GB2312" w:eastAsia="仿宋_GB2312" w:cs="仿宋_GB2312"/>
          <w:sz w:val="32"/>
          <w:szCs w:val="28"/>
          <w:lang w:val="en-US" w:eastAsia="zh-CN"/>
        </w:rPr>
        <w:t>.提供申报期间服务贸易专项审计报告（需披露在岸服务外包执行额并附带明细表，复印件并加盖单位公章）；</w:t>
      </w:r>
    </w:p>
    <w:p>
      <w:pPr>
        <w:pStyle w:val="6"/>
        <w:spacing w:line="560" w:lineRule="exact"/>
        <w:ind w:firstLine="640" w:firstLineChars="200"/>
        <w:rPr>
          <w:rFonts w:hint="eastAsia" w:ascii="仿宋_GB2312" w:hAnsi="仿宋_GB2312" w:eastAsia="仿宋_GB2312" w:cs="仿宋_GB2312"/>
          <w:sz w:val="32"/>
          <w:szCs w:val="28"/>
          <w:lang w:val="en-US" w:eastAsia="zh-CN"/>
        </w:rPr>
      </w:pPr>
      <w:r>
        <w:rPr>
          <w:rFonts w:hint="eastAsia" w:ascii="仿宋_GB2312" w:hAnsi="仿宋_GB2312" w:eastAsia="仿宋_GB2312" w:cs="仿宋_GB2312"/>
          <w:sz w:val="32"/>
          <w:szCs w:val="28"/>
          <w:lang w:val="en-US" w:eastAsia="zh-CN"/>
        </w:rPr>
        <w:t>3.申报期间本单位服务合同（具有法律效力的有服务外包业务内容的合同，包括但不限于服务协议、电子邮件、电子订单等，合同关键内容必须完整，外文合同需提供中文翻译件，如合同数超5份的，仅需提供5份合同即可）、补充协议（如无可不提供）（复印件并加盖单位公章）；</w:t>
      </w:r>
    </w:p>
    <w:p>
      <w:pPr>
        <w:pStyle w:val="6"/>
        <w:spacing w:line="560" w:lineRule="exact"/>
        <w:ind w:firstLine="640" w:firstLineChars="200"/>
        <w:rPr>
          <w:rFonts w:hint="eastAsia" w:ascii="仿宋_GB2312" w:hAnsi="仿宋_GB2312" w:eastAsia="仿宋_GB2312" w:cs="仿宋_GB2312"/>
          <w:sz w:val="32"/>
          <w:szCs w:val="28"/>
          <w:lang w:val="en-US" w:eastAsia="zh-CN"/>
        </w:rPr>
      </w:pPr>
      <w:r>
        <w:rPr>
          <w:rFonts w:hint="eastAsia" w:ascii="仿宋_GB2312" w:hAnsi="仿宋_GB2312" w:eastAsia="仿宋_GB2312" w:cs="仿宋_GB2312"/>
          <w:sz w:val="32"/>
          <w:szCs w:val="28"/>
          <w:lang w:val="en-US" w:eastAsia="zh-CN"/>
        </w:rPr>
        <w:t>4.合同对应的收汇水单（复印件并加盖单位公章）；</w:t>
      </w:r>
    </w:p>
    <w:p>
      <w:pPr>
        <w:pStyle w:val="6"/>
        <w:spacing w:line="560" w:lineRule="exact"/>
        <w:ind w:firstLine="640" w:firstLineChars="200"/>
        <w:rPr>
          <w:rFonts w:hint="eastAsia" w:ascii="仿宋_GB2312" w:hAnsi="仿宋_GB2312" w:eastAsia="仿宋_GB2312" w:cs="仿宋_GB2312"/>
          <w:sz w:val="32"/>
          <w:szCs w:val="28"/>
          <w:lang w:val="en-US" w:eastAsia="zh-CN"/>
        </w:rPr>
      </w:pPr>
      <w:r>
        <w:rPr>
          <w:rFonts w:hint="eastAsia" w:ascii="仿宋_GB2312" w:hAnsi="仿宋_GB2312" w:eastAsia="仿宋_GB2312" w:cs="仿宋_GB2312"/>
          <w:sz w:val="32"/>
          <w:szCs w:val="28"/>
          <w:lang w:val="en-US" w:eastAsia="zh-CN"/>
        </w:rPr>
        <w:t>5.企业在岸服务外包收入明细表（原件并加盖单位公章）；</w:t>
      </w:r>
    </w:p>
    <w:p>
      <w:pPr>
        <w:pStyle w:val="6"/>
        <w:spacing w:line="560" w:lineRule="exact"/>
        <w:ind w:firstLine="643" w:firstLineChars="200"/>
        <w:rPr>
          <w:rFonts w:hint="eastAsia" w:ascii="仿宋_GB2312" w:hAnsi="Times New Roman" w:eastAsia="仿宋_GB2312" w:cs="Times New Roman"/>
          <w:b/>
          <w:bCs/>
          <w:color w:val="auto"/>
          <w:kern w:val="2"/>
          <w:sz w:val="32"/>
          <w:szCs w:val="32"/>
          <w:highlight w:val="none"/>
          <w:lang w:val="en-US" w:eastAsia="zh-CN" w:bidi="ar-SA"/>
        </w:rPr>
      </w:pPr>
      <w:r>
        <w:rPr>
          <w:rFonts w:hint="eastAsia" w:ascii="仿宋_GB2312" w:hAnsi="Times New Roman" w:eastAsia="仿宋_GB2312" w:cs="Times New Roman"/>
          <w:b/>
          <w:bCs/>
          <w:color w:val="auto"/>
          <w:kern w:val="2"/>
          <w:sz w:val="32"/>
          <w:szCs w:val="32"/>
          <w:highlight w:val="none"/>
          <w:lang w:val="en-US" w:eastAsia="zh-CN" w:bidi="ar-SA"/>
        </w:rPr>
        <w:t>方式二：</w:t>
      </w:r>
    </w:p>
    <w:p>
      <w:pPr>
        <w:pStyle w:val="7"/>
        <w:spacing w:line="560" w:lineRule="exact"/>
        <w:ind w:firstLine="640" w:firstLineChars="200"/>
        <w:rPr>
          <w:rFonts w:hint="eastAsia" w:ascii="仿宋_GB2312" w:hAnsi="Calibri"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《广州开发区政策兑现事项材料清单》（该清单在政策兑现服务信息系统预审通过后系统自动生成，请自行打印并在提交纸质材料时一并提交，经办人签名）；</w:t>
      </w:r>
    </w:p>
    <w:p>
      <w:pPr>
        <w:pStyle w:val="6"/>
        <w:spacing w:line="560" w:lineRule="exact"/>
        <w:ind w:firstLine="640" w:firstLineChars="200"/>
        <w:rPr>
          <w:rFonts w:hint="eastAsia" w:ascii="仿宋_GB2312" w:hAnsi="仿宋_GB2312" w:eastAsia="仿宋_GB2312" w:cs="仿宋_GB2312"/>
          <w:sz w:val="32"/>
          <w:szCs w:val="28"/>
          <w:lang w:val="en-US" w:eastAsia="zh-CN"/>
        </w:rPr>
      </w:pPr>
      <w:r>
        <w:rPr>
          <w:rFonts w:hint="eastAsia" w:ascii="仿宋_GB2312" w:hAnsi="仿宋_GB2312" w:eastAsia="仿宋_GB2312" w:cs="仿宋_GB2312"/>
          <w:sz w:val="32"/>
          <w:szCs w:val="28"/>
          <w:lang w:val="en-US" w:eastAsia="zh-CN"/>
        </w:rPr>
        <w:t>2.申报期间本单位所有服务合同（具有法律效力的有服务外包业务内容的合同，包括但不限于服务协议、电子邮件、电子订单等，合同关键内容必须完整，外文合同需提供中文翻译件）、补充协议（如无可不提供）（复印件并加盖单位公章）；</w:t>
      </w:r>
    </w:p>
    <w:p>
      <w:pPr>
        <w:pStyle w:val="6"/>
        <w:spacing w:line="560" w:lineRule="exact"/>
        <w:ind w:firstLine="640" w:firstLineChars="200"/>
        <w:rPr>
          <w:rFonts w:hint="eastAsia" w:ascii="仿宋_GB2312" w:hAnsi="仿宋_GB2312" w:eastAsia="仿宋_GB2312" w:cs="仿宋_GB2312"/>
          <w:sz w:val="32"/>
          <w:szCs w:val="28"/>
          <w:lang w:val="en-US" w:eastAsia="zh-CN"/>
        </w:rPr>
      </w:pPr>
      <w:r>
        <w:rPr>
          <w:rFonts w:hint="eastAsia" w:ascii="仿宋_GB2312" w:hAnsi="仿宋_GB2312" w:eastAsia="仿宋_GB2312" w:cs="仿宋_GB2312"/>
          <w:sz w:val="32"/>
          <w:szCs w:val="28"/>
          <w:lang w:val="en-US" w:eastAsia="zh-CN"/>
        </w:rPr>
        <w:t>3.合同对应的收汇水单（复印件并加盖单位公章）；</w:t>
      </w:r>
    </w:p>
    <w:p>
      <w:pPr>
        <w:pStyle w:val="6"/>
        <w:numPr>
          <w:ilvl w:val="0"/>
          <w:numId w:val="0"/>
        </w:numPr>
        <w:spacing w:line="560" w:lineRule="exact"/>
        <w:ind w:firstLine="640" w:firstLineChars="200"/>
        <w:rPr>
          <w:rFonts w:hint="default" w:ascii="仿宋_GB2312" w:hAnsi="仿宋_GB2312" w:eastAsia="仿宋_GB2312" w:cs="仿宋_GB2312"/>
          <w:sz w:val="32"/>
          <w:szCs w:val="28"/>
          <w:lang w:val="en-US" w:eastAsia="zh-CN"/>
        </w:rPr>
      </w:pPr>
      <w:r>
        <w:rPr>
          <w:rFonts w:hint="eastAsia" w:ascii="仿宋_GB2312" w:hAnsi="仿宋_GB2312" w:eastAsia="仿宋_GB2312" w:cs="仿宋_GB2312"/>
          <w:sz w:val="32"/>
          <w:szCs w:val="28"/>
          <w:lang w:val="en-US" w:eastAsia="zh-CN"/>
        </w:rPr>
        <w:t>4.企业在岸服务外包收入明细表（原件并加盖单位公章）；</w:t>
      </w:r>
    </w:p>
    <w:p>
      <w:pPr>
        <w:pageBreakBefore w:val="0"/>
        <w:widowControl/>
        <w:tabs>
          <w:tab w:val="left" w:pos="6663"/>
        </w:tabs>
        <w:kinsoku/>
        <w:wordWrap/>
        <w:overflowPunct/>
        <w:topLinePunct w:val="0"/>
        <w:autoSpaceDE/>
        <w:autoSpaceDN/>
        <w:bidi w:val="0"/>
        <w:spacing w:line="560" w:lineRule="exact"/>
        <w:ind w:leftChars="0" w:firstLine="643" w:firstLineChars="200"/>
        <w:textAlignment w:val="auto"/>
        <w:rPr>
          <w:rFonts w:hint="eastAsia" w:ascii="仿宋_GB2312" w:eastAsia="仿宋_GB2312"/>
          <w:b/>
          <w:bCs/>
          <w:color w:val="auto"/>
          <w:sz w:val="32"/>
          <w:szCs w:val="32"/>
          <w:highlight w:val="none"/>
          <w:lang w:val="en-US" w:eastAsia="zh-CN"/>
        </w:rPr>
      </w:pPr>
      <w:r>
        <w:rPr>
          <w:rFonts w:hint="eastAsia" w:ascii="仿宋_GB2312" w:hAnsi="仿宋_GB2312" w:eastAsia="仿宋_GB2312" w:cs="仿宋_GB2312"/>
          <w:b/>
          <w:bCs/>
          <w:sz w:val="32"/>
          <w:szCs w:val="28"/>
          <w:lang w:val="en-US" w:eastAsia="zh-CN"/>
        </w:rPr>
        <w:t>备注：</w:t>
      </w:r>
      <w:r>
        <w:rPr>
          <w:rFonts w:hint="eastAsia" w:ascii="仿宋_GB2312" w:hAnsi="仿宋_GB2312" w:eastAsia="仿宋_GB2312" w:cs="仿宋_GB2312"/>
          <w:b/>
          <w:bCs/>
          <w:sz w:val="32"/>
          <w:szCs w:val="28"/>
        </w:rPr>
        <w:t>在岸业绩项目</w:t>
      </w:r>
      <w:r>
        <w:rPr>
          <w:rFonts w:hint="eastAsia" w:ascii="仿宋_GB2312" w:hAnsi="仿宋_GB2312" w:eastAsia="仿宋_GB2312" w:cs="仿宋_GB2312"/>
          <w:b/>
          <w:bCs/>
          <w:sz w:val="32"/>
          <w:szCs w:val="28"/>
          <w:lang w:val="en-US" w:eastAsia="zh-CN"/>
        </w:rPr>
        <w:t>与</w:t>
      </w:r>
      <w:r>
        <w:rPr>
          <w:rFonts w:hint="eastAsia" w:ascii="仿宋_GB2312" w:hAnsi="仿宋_GB2312" w:eastAsia="仿宋_GB2312" w:cs="仿宋_GB2312"/>
          <w:b/>
          <w:bCs/>
          <w:sz w:val="32"/>
          <w:szCs w:val="28"/>
        </w:rPr>
        <w:t>20</w:t>
      </w:r>
      <w:r>
        <w:rPr>
          <w:rFonts w:hint="eastAsia" w:ascii="仿宋_GB2312" w:hAnsi="仿宋_GB2312" w:eastAsia="仿宋_GB2312" w:cs="仿宋_GB2312"/>
          <w:b/>
          <w:bCs/>
          <w:sz w:val="32"/>
          <w:szCs w:val="28"/>
          <w:lang w:val="en-US" w:eastAsia="zh-CN"/>
        </w:rPr>
        <w:t>25</w:t>
      </w:r>
      <w:r>
        <w:rPr>
          <w:rFonts w:hint="eastAsia" w:ascii="仿宋_GB2312" w:hAnsi="仿宋_GB2312" w:eastAsia="仿宋_GB2312" w:cs="仿宋_GB2312"/>
          <w:b/>
          <w:bCs/>
          <w:sz w:val="32"/>
          <w:szCs w:val="28"/>
        </w:rPr>
        <w:t>年广州市促进商务高质量发展专项资金服务贸易专题</w:t>
      </w:r>
      <w:r>
        <w:rPr>
          <w:rFonts w:hint="eastAsia" w:ascii="仿宋_GB2312" w:hAnsi="仿宋_GB2312" w:eastAsia="仿宋_GB2312" w:cs="仿宋_GB2312"/>
          <w:b/>
          <w:bCs/>
          <w:sz w:val="32"/>
          <w:szCs w:val="28"/>
          <w:lang w:val="en-US" w:eastAsia="zh-CN"/>
        </w:rPr>
        <w:t>其他</w:t>
      </w:r>
      <w:r>
        <w:rPr>
          <w:rFonts w:hint="eastAsia" w:ascii="仿宋_GB2312" w:hAnsi="仿宋_GB2312" w:eastAsia="仿宋_GB2312" w:cs="仿宋_GB2312"/>
          <w:b/>
          <w:bCs/>
          <w:sz w:val="32"/>
          <w:szCs w:val="28"/>
        </w:rPr>
        <w:t>事项</w:t>
      </w:r>
      <w:r>
        <w:rPr>
          <w:rFonts w:hint="eastAsia" w:ascii="仿宋_GB2312" w:hAnsi="仿宋_GB2312" w:eastAsia="仿宋_GB2312" w:cs="仿宋_GB2312"/>
          <w:b/>
          <w:bCs/>
          <w:sz w:val="32"/>
          <w:szCs w:val="28"/>
          <w:lang w:val="en-US" w:eastAsia="zh-CN"/>
        </w:rPr>
        <w:t>联合申报，</w:t>
      </w:r>
      <w:r>
        <w:rPr>
          <w:rFonts w:hint="eastAsia" w:ascii="仿宋_GB2312" w:eastAsia="仿宋_GB2312" w:cs="Times New Roman"/>
          <w:b/>
          <w:bCs/>
          <w:color w:val="auto"/>
          <w:sz w:val="32"/>
          <w:szCs w:val="32"/>
          <w:highlight w:val="none"/>
          <w:lang w:val="en-US" w:eastAsia="zh-CN"/>
        </w:rPr>
        <w:t>政策兑现系统预审通过后，若同时申请多个项目，仅需提供一份基础材料，且需随同其他各申报项目材料一同装订成册。</w:t>
      </w:r>
    </w:p>
    <w:p>
      <w:pPr>
        <w:spacing w:line="560" w:lineRule="exact"/>
        <w:ind w:left="0" w:leftChars="0" w:firstLine="643" w:firstLineChars="200"/>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实质审核通过后，登录黄埔兑现通—政策兑现综合服务平台在线办理资金拨付申请：</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1.《收款确认函》（加盖单位公章并扫描上传原件的彩色扫描件。上传《收款确认函》之前，请务必确认系统中的单位名称及银行账户等信息准确无误）。</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2.若单位信息有变更的，需及时修改系统资料信息，并上传《工商变更登记备案通知书》、企业银行基本户《开户许可证》等原件的彩色扫描件。（若申请时的单位名称与拨付时的单位名称一致，则无需提供）。</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六、受理部门</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广州开发区政策研究室“政策兑现”窗口（窗口地址：广州市黄埔区香雪三路3号广州开发区政务服务中心3楼C区349号窗口）</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联系电话：82114062          邮箱：zcdx@gdd.gov.cn</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七、业务主管部门</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广州市黄埔区商务局（广州开发区商务局）</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 xml:space="preserve">联系电话：82111596  </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联系人：李浩锐</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八、受理时间</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周一至周五：上午：9:00-12:00       下午：1:00-5:00</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（国家法定节假日按有关规定另行执行）</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九、办理时限</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21个工作日（形式审核时限：</w:t>
      </w:r>
      <w:r>
        <w:rPr>
          <w:rFonts w:hint="eastAsia" w:ascii="仿宋_GB2312" w:hAnsi="仿宋_GB2312" w:eastAsia="仿宋_GB2312" w:cs="仿宋_GB2312"/>
          <w:b w:val="0"/>
          <w:bCs/>
          <w:color w:val="auto"/>
          <w:sz w:val="32"/>
          <w:szCs w:val="32"/>
          <w:highlight w:val="none"/>
          <w:lang w:val="en-US" w:eastAsia="zh-CN"/>
        </w:rPr>
        <w:t>2</w:t>
      </w:r>
      <w:r>
        <w:rPr>
          <w:rFonts w:hint="eastAsia" w:ascii="仿宋_GB2312" w:hAnsi="仿宋_GB2312" w:eastAsia="仿宋_GB2312" w:cs="仿宋_GB2312"/>
          <w:b w:val="0"/>
          <w:bCs/>
          <w:color w:val="auto"/>
          <w:sz w:val="32"/>
          <w:szCs w:val="32"/>
          <w:highlight w:val="none"/>
        </w:rPr>
        <w:t>个工作日；实质审核时限：</w:t>
      </w:r>
      <w:r>
        <w:rPr>
          <w:rFonts w:hint="eastAsia" w:ascii="仿宋_GB2312" w:hAnsi="仿宋_GB2312" w:eastAsia="仿宋_GB2312" w:cs="仿宋_GB2312"/>
          <w:b w:val="0"/>
          <w:bCs/>
          <w:color w:val="auto"/>
          <w:sz w:val="32"/>
          <w:szCs w:val="32"/>
          <w:highlight w:val="none"/>
          <w:lang w:val="en-US" w:eastAsia="zh-CN"/>
        </w:rPr>
        <w:t>10</w:t>
      </w:r>
      <w:r>
        <w:rPr>
          <w:rFonts w:hint="eastAsia" w:ascii="仿宋_GB2312" w:hAnsi="仿宋_GB2312" w:eastAsia="仿宋_GB2312" w:cs="仿宋_GB2312"/>
          <w:b w:val="0"/>
          <w:bCs/>
          <w:color w:val="auto"/>
          <w:sz w:val="32"/>
          <w:szCs w:val="32"/>
          <w:highlight w:val="none"/>
        </w:rPr>
        <w:t>个工作日；资金拨付时限：5+4个工作日）</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（以上办理时限扣除法定节假日、公休日；扣除组织专家评审论证、公示所需的时间以及与上级部门业务信息系统等区外部门的业务信息系统核实所需的时间；其他需要扣除时限的特殊情况。）</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十、办理流程</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一）申请人登录黄埔兑现通—政策兑现综合服务平台（http://zcdx.gdd.gov.cn），按照办事指南要求申请事项预审。预审通过后，带齐纸质材料到“政策兑现”窗口递交，正式提出申请；“政策兑现”窗口按照办事指南要求予以收件。</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（二）区政策研究室对申请材料进行形式审核，形式审核通过即正式受理后，转业务主管部门进行实质审核；对于形式审核未通过或需要补正申请材料的，5个工作日内通知申请人。</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（三）业务主管部门进行实质审核并作出审核决定。</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（四）实质审核通过的，申请人登录黄埔兑现通—政策兑现综合服务平台在线办理资金拨付手续。</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（五）业务主管部门办理资金核拨手续。</w:t>
      </w:r>
    </w:p>
    <w:p>
      <w:pPr>
        <w:spacing w:line="560" w:lineRule="exact"/>
        <w:ind w:left="0" w:leftChars="0" w:firstLine="640" w:firstLineChars="200"/>
        <w:rPr>
          <w:rFonts w:hint="eastAsia"/>
          <w:sz w:val="24"/>
        </w:rPr>
      </w:pPr>
      <w:r>
        <w:rPr>
          <w:rFonts w:hint="eastAsia" w:ascii="仿宋_GB2312" w:hAnsi="仿宋_GB2312" w:eastAsia="仿宋_GB2312" w:cs="仿宋_GB2312"/>
          <w:b w:val="0"/>
          <w:bCs/>
          <w:color w:val="auto"/>
          <w:sz w:val="32"/>
          <w:szCs w:val="32"/>
          <w:highlight w:val="none"/>
        </w:rPr>
        <w:t>（六）区财政国库集中支付中心办理资金拨付手续。</w:t>
      </w:r>
    </w:p>
    <w:p/>
    <w:sectPr>
      <w:footerReference r:id="rId3" w:type="default"/>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sz w:val="28"/>
      </w:rPr>
    </w:pPr>
    <w:r>
      <w:rPr>
        <w:rFonts w:hint="eastAsia"/>
        <w:kern w:val="0"/>
        <w:sz w:val="28"/>
      </w:rPr>
      <w:t xml:space="preserve">                                                      —</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Pr>
        <w:kern w:val="0"/>
        <w:sz w:val="28"/>
      </w:rPr>
      <w:t>15</w:t>
    </w:r>
    <w:r>
      <w:rPr>
        <w:kern w:val="0"/>
        <w:sz w:val="28"/>
      </w:rPr>
      <w:fldChar w:fldCharType="end"/>
    </w:r>
    <w:r>
      <w:rPr>
        <w:kern w:val="0"/>
        <w:sz w:val="28"/>
      </w:rPr>
      <w:t xml:space="preserve"> </w:t>
    </w:r>
    <w:r>
      <w:rPr>
        <w:rFonts w:hint="eastAsia"/>
        <w:kern w:val="0"/>
        <w:sz w:val="28"/>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chineseCounting"/>
      <w:suff w:val="nothing"/>
      <w:lvlText w:val="%1、"/>
      <w:lvlJc w:val="left"/>
    </w:lvl>
  </w:abstractNum>
  <w:abstractNum w:abstractNumId="1">
    <w:nsid w:val="270BD992"/>
    <w:multiLevelType w:val="singleLevel"/>
    <w:tmpl w:val="270BD992"/>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507099"/>
    <w:rsid w:val="0333227A"/>
    <w:rsid w:val="063948D3"/>
    <w:rsid w:val="07EF5C4C"/>
    <w:rsid w:val="09173329"/>
    <w:rsid w:val="0A7041E5"/>
    <w:rsid w:val="0C257F93"/>
    <w:rsid w:val="0CC447FF"/>
    <w:rsid w:val="0E00147B"/>
    <w:rsid w:val="0EBD21F8"/>
    <w:rsid w:val="1695258F"/>
    <w:rsid w:val="18DA0195"/>
    <w:rsid w:val="1949339C"/>
    <w:rsid w:val="19D40B91"/>
    <w:rsid w:val="1CC20EE8"/>
    <w:rsid w:val="1E1B3504"/>
    <w:rsid w:val="1E8178D6"/>
    <w:rsid w:val="235F2C8E"/>
    <w:rsid w:val="23C250D0"/>
    <w:rsid w:val="2844657C"/>
    <w:rsid w:val="29F23A8A"/>
    <w:rsid w:val="2A831B45"/>
    <w:rsid w:val="2E5D491A"/>
    <w:rsid w:val="2F8D5259"/>
    <w:rsid w:val="2FAB5812"/>
    <w:rsid w:val="31272504"/>
    <w:rsid w:val="32EF2765"/>
    <w:rsid w:val="33811FC7"/>
    <w:rsid w:val="33CE729F"/>
    <w:rsid w:val="356C50D1"/>
    <w:rsid w:val="38017CBA"/>
    <w:rsid w:val="38EE646A"/>
    <w:rsid w:val="392159D1"/>
    <w:rsid w:val="3C1674E8"/>
    <w:rsid w:val="3C2C5D65"/>
    <w:rsid w:val="3C555BA6"/>
    <w:rsid w:val="3FB01138"/>
    <w:rsid w:val="3FD86489"/>
    <w:rsid w:val="42A51E55"/>
    <w:rsid w:val="44CD27C7"/>
    <w:rsid w:val="47CA05F0"/>
    <w:rsid w:val="488A6592"/>
    <w:rsid w:val="489D0A8B"/>
    <w:rsid w:val="4FE013CC"/>
    <w:rsid w:val="501A4FC9"/>
    <w:rsid w:val="53D567F2"/>
    <w:rsid w:val="54F0190D"/>
    <w:rsid w:val="55923492"/>
    <w:rsid w:val="55E60FD6"/>
    <w:rsid w:val="56985692"/>
    <w:rsid w:val="58C8638F"/>
    <w:rsid w:val="5F98613F"/>
    <w:rsid w:val="625D7932"/>
    <w:rsid w:val="63946495"/>
    <w:rsid w:val="64577BA4"/>
    <w:rsid w:val="64733A6D"/>
    <w:rsid w:val="654F7AE4"/>
    <w:rsid w:val="656B61B6"/>
    <w:rsid w:val="65A91A62"/>
    <w:rsid w:val="662E5BFA"/>
    <w:rsid w:val="67EA60F9"/>
    <w:rsid w:val="684E31B6"/>
    <w:rsid w:val="6B6E5CEE"/>
    <w:rsid w:val="6DEE0C32"/>
    <w:rsid w:val="6F284C90"/>
    <w:rsid w:val="709C6C0F"/>
    <w:rsid w:val="710431F8"/>
    <w:rsid w:val="730A6B50"/>
    <w:rsid w:val="741A5AAE"/>
    <w:rsid w:val="74A0769F"/>
    <w:rsid w:val="75866E60"/>
    <w:rsid w:val="75EC5DCF"/>
    <w:rsid w:val="777374FA"/>
    <w:rsid w:val="78684130"/>
    <w:rsid w:val="7C0F4D02"/>
    <w:rsid w:val="7D8E3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正文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
    <w:name w:val="正文 New New New New New New New New New New New New New New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7">
    <w:name w:val="正文 New New New New New New New New New New New New New New New New New New New New New New New New New New New New New"/>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2134</Words>
  <Characters>2270</Characters>
  <Lines>0</Lines>
  <Paragraphs>0</Paragraphs>
  <TotalTime>82</TotalTime>
  <ScaleCrop>false</ScaleCrop>
  <LinksUpToDate>false</LinksUpToDate>
  <CharactersWithSpaces>2294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2021-03-23T08:38:00Z</dcterms:created>
  <dc:creator>李浩锐</dc:creator>
  <cp:lastModifiedBy>13</cp:lastModifiedBy>
  <dcterms:modified xsi:type="dcterms:W3CDTF">2024-07-11T08:45:52Z</dcterms:modified>
  <dc:title>申请2021年市商务发展专项资金服务贸易事项（服务贸易出口项目）办事指南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CEB6ACF9FF7F4053AFB864900BDCB319</vt:lpwstr>
  </property>
</Properties>
</file>